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51" w:rsidRDefault="00821251" w:rsidP="00821251">
      <w:pPr>
        <w:pStyle w:val="a3"/>
        <w:shd w:val="clear" w:color="auto" w:fill="FFFFFF"/>
        <w:spacing w:before="0" w:beforeAutospacing="0" w:after="306" w:afterAutospacing="0" w:line="337" w:lineRule="atLeast"/>
        <w:rPr>
          <w:rFonts w:ascii="Arial" w:hAnsi="Arial" w:cs="Arial"/>
          <w:color w:val="2C2A29"/>
          <w:spacing w:val="2"/>
          <w:sz w:val="26"/>
          <w:szCs w:val="26"/>
        </w:rPr>
      </w:pPr>
      <w:r>
        <w:rPr>
          <w:rFonts w:ascii="Arial" w:hAnsi="Arial" w:cs="Arial"/>
          <w:b/>
          <w:bCs/>
          <w:color w:val="2C2A29"/>
          <w:spacing w:val="2"/>
        </w:rPr>
        <w:t xml:space="preserve">Межведомственная комиссия провела второе в этом году заседание и рассмотрела заявки на получение статуса «социальное предприятие». Одобрение получила 108 заявок. По итогам двух заседаний комиссия </w:t>
      </w:r>
      <w:proofErr w:type="gramStart"/>
      <w:r>
        <w:rPr>
          <w:rFonts w:ascii="Arial" w:hAnsi="Arial" w:cs="Arial"/>
          <w:b/>
          <w:bCs/>
          <w:color w:val="2C2A29"/>
          <w:spacing w:val="2"/>
        </w:rPr>
        <w:t>одобрила более 270 заявок от бизнеса из них порядка 60 заявок предприниматели подавали</w:t>
      </w:r>
      <w:proofErr w:type="gramEnd"/>
      <w:r>
        <w:rPr>
          <w:rFonts w:ascii="Arial" w:hAnsi="Arial" w:cs="Arial"/>
          <w:b/>
          <w:bCs/>
          <w:color w:val="2C2A29"/>
          <w:spacing w:val="2"/>
        </w:rPr>
        <w:t xml:space="preserve"> документы впервые. Новый статус позволит бизнесу получать налоговые льготы, финансовую, имущественную и смогут претендовать на грант до 500 тысяч рублей.</w:t>
      </w:r>
    </w:p>
    <w:p w:rsidR="00821251" w:rsidRDefault="00821251" w:rsidP="00821251">
      <w:pPr>
        <w:pStyle w:val="a3"/>
        <w:shd w:val="clear" w:color="auto" w:fill="FFFFFF"/>
        <w:spacing w:before="0" w:beforeAutospacing="0" w:after="306" w:afterAutospacing="0" w:line="337" w:lineRule="atLeast"/>
        <w:rPr>
          <w:rFonts w:ascii="Arial" w:hAnsi="Arial" w:cs="Arial"/>
          <w:color w:val="2C2A29"/>
          <w:spacing w:val="2"/>
          <w:sz w:val="26"/>
          <w:szCs w:val="26"/>
        </w:rPr>
      </w:pPr>
      <w:r>
        <w:rPr>
          <w:rFonts w:ascii="Arial" w:hAnsi="Arial" w:cs="Arial"/>
          <w:color w:val="2C2A29"/>
          <w:spacing w:val="2"/>
        </w:rPr>
        <w:t>Получить социальный статус предприниматели могут в разрезе четырех направлений. Для первого нужно, чтобы не меньше половины сотрудников были люди из социально уязвимых категорий граждан. Для второго направления – предприниматель должен реализовывать товары, которые произвели люди из социально уязвимых категорий. Для третьего вида необходимо производить товары или оказывать услуги для этих категорий граждан. К четвертому направлению относится детские сады, пансионаты, частные музеи, творческие мастерские, театры, библиотеки и другие предприятия, работа которых направлена на решение социальных проблем общества.</w:t>
      </w:r>
    </w:p>
    <w:p w:rsidR="00821251" w:rsidRDefault="00821251" w:rsidP="00821251">
      <w:pPr>
        <w:pStyle w:val="a3"/>
        <w:shd w:val="clear" w:color="auto" w:fill="FFFFFF"/>
        <w:spacing w:before="0" w:beforeAutospacing="0" w:after="306" w:afterAutospacing="0" w:line="337" w:lineRule="atLeast"/>
        <w:rPr>
          <w:rFonts w:ascii="Arial" w:hAnsi="Arial" w:cs="Arial"/>
          <w:color w:val="2C2A29"/>
          <w:spacing w:val="2"/>
          <w:sz w:val="26"/>
          <w:szCs w:val="26"/>
        </w:rPr>
      </w:pPr>
      <w:r>
        <w:rPr>
          <w:rFonts w:ascii="Arial" w:hAnsi="Arial" w:cs="Arial"/>
          <w:color w:val="2C2A29"/>
          <w:spacing w:val="2"/>
        </w:rPr>
        <w:t>Как отметила руководитель Центра инноваций социальной сферы Ольга Кудинова, традиционно больше всего заявок подается как раз по четвертому направлению – более 70%. Однако, наблюдается рост заявок и по другим направлениям.</w:t>
      </w:r>
    </w:p>
    <w:p w:rsidR="00821251" w:rsidRDefault="00821251" w:rsidP="00801D16">
      <w:pPr>
        <w:pStyle w:val="a3"/>
        <w:shd w:val="clear" w:color="auto" w:fill="F6F6F6"/>
        <w:spacing w:before="0" w:beforeAutospacing="0" w:after="0" w:afterAutospacing="0"/>
        <w:rPr>
          <w:rFonts w:ascii="Arial" w:hAnsi="Arial" w:cs="Arial"/>
          <w:color w:val="2C2A29"/>
          <w:spacing w:val="2"/>
          <w:sz w:val="26"/>
          <w:szCs w:val="26"/>
        </w:rPr>
      </w:pPr>
      <w:r>
        <w:rPr>
          <w:rFonts w:ascii="Arial" w:hAnsi="Arial" w:cs="Arial"/>
          <w:color w:val="2C2A29"/>
          <w:spacing w:val="2"/>
        </w:rPr>
        <w:t>«Мы рады видеть рост заявок от бизнеса из других направлений. Так мы приняли более 20 заявок от бизнеса, который трудоустраивает социально-уязвимых граждан. Это значит, что официально трудоустраивает людей с ограниченными возможностями, выпускников детских домов, многодетных и одиноких родителей и других уязвимых слоев населения. Мы помогаем всем предпринимателям подготовить пакет документов, помогаем заполнять многие графы. Так для комиссии важен «отчет о социальном воздействии», где предпринимателю необходимо четко сформулировать цель и миссию своего социального проекта», – уточнила Ольга Кудинова.</w:t>
      </w:r>
    </w:p>
    <w:p w:rsidR="00821251" w:rsidRDefault="00821251" w:rsidP="00821251">
      <w:pPr>
        <w:pStyle w:val="a3"/>
        <w:shd w:val="clear" w:color="auto" w:fill="FFFFFF"/>
        <w:spacing w:before="0" w:beforeAutospacing="0" w:after="0" w:afterAutospacing="0" w:line="337" w:lineRule="atLeast"/>
        <w:rPr>
          <w:rFonts w:ascii="Arial" w:hAnsi="Arial" w:cs="Arial"/>
          <w:color w:val="2C2A29"/>
          <w:spacing w:val="2"/>
          <w:sz w:val="26"/>
          <w:szCs w:val="26"/>
        </w:rPr>
      </w:pPr>
      <w:r>
        <w:rPr>
          <w:rFonts w:ascii="Arial" w:hAnsi="Arial" w:cs="Arial"/>
          <w:color w:val="2C2A29"/>
          <w:spacing w:val="2"/>
        </w:rPr>
        <w:t>В Приморье продолжает работать система поддержки предпринимателей, осуществляющих деятельность в социальной сфере. МКК «Фонд развития промышленности» разработал </w:t>
      </w:r>
      <w:proofErr w:type="spellStart"/>
      <w:r>
        <w:rPr>
          <w:rFonts w:ascii="Arial" w:hAnsi="Arial" w:cs="Arial"/>
          <w:color w:val="2C2A29"/>
          <w:spacing w:val="2"/>
          <w:sz w:val="26"/>
          <w:szCs w:val="26"/>
        </w:rPr>
        <w:fldChar w:fldCharType="begin"/>
      </w:r>
      <w:r>
        <w:rPr>
          <w:rFonts w:ascii="Arial" w:hAnsi="Arial" w:cs="Arial"/>
          <w:color w:val="2C2A29"/>
          <w:spacing w:val="2"/>
          <w:sz w:val="26"/>
          <w:szCs w:val="26"/>
        </w:rPr>
        <w:instrText xml:space="preserve"> HYPERLINK "https://mfoprim.ru/loan/social" \t "_blank" </w:instrText>
      </w:r>
      <w:r>
        <w:rPr>
          <w:rFonts w:ascii="Arial" w:hAnsi="Arial" w:cs="Arial"/>
          <w:color w:val="2C2A29"/>
          <w:spacing w:val="2"/>
          <w:sz w:val="26"/>
          <w:szCs w:val="26"/>
        </w:rPr>
        <w:fldChar w:fldCharType="separate"/>
      </w:r>
      <w:r>
        <w:rPr>
          <w:rStyle w:val="a4"/>
          <w:rFonts w:ascii="Arial" w:hAnsi="Arial" w:cs="Arial"/>
          <w:spacing w:val="2"/>
          <w:u w:val="none"/>
        </w:rPr>
        <w:t>займ</w:t>
      </w:r>
      <w:proofErr w:type="spellEnd"/>
      <w:r>
        <w:rPr>
          <w:rStyle w:val="a4"/>
          <w:rFonts w:ascii="Arial" w:hAnsi="Arial" w:cs="Arial"/>
          <w:spacing w:val="2"/>
          <w:u w:val="none"/>
        </w:rPr>
        <w:t xml:space="preserve"> «Социальный»,</w:t>
      </w:r>
      <w:r>
        <w:rPr>
          <w:rFonts w:ascii="Arial" w:hAnsi="Arial" w:cs="Arial"/>
          <w:color w:val="2C2A29"/>
          <w:spacing w:val="2"/>
          <w:sz w:val="26"/>
          <w:szCs w:val="26"/>
        </w:rPr>
        <w:fldChar w:fldCharType="end"/>
      </w:r>
      <w:r>
        <w:rPr>
          <w:rFonts w:ascii="Arial" w:hAnsi="Arial" w:cs="Arial"/>
          <w:color w:val="2C2A29"/>
          <w:spacing w:val="2"/>
        </w:rPr>
        <w:t xml:space="preserve">чтобы действующие компании — детские оздоровительные центры, дома престарелых, творческие центры — могли получить доступные кредитные средства для развития своего дела. Предприниматели могут получить от 10 тысяч до 5 </w:t>
      </w:r>
      <w:proofErr w:type="spellStart"/>
      <w:proofErr w:type="gramStart"/>
      <w:r>
        <w:rPr>
          <w:rFonts w:ascii="Arial" w:hAnsi="Arial" w:cs="Arial"/>
          <w:color w:val="2C2A29"/>
          <w:spacing w:val="2"/>
        </w:rPr>
        <w:t>млн</w:t>
      </w:r>
      <w:proofErr w:type="spellEnd"/>
      <w:proofErr w:type="gramEnd"/>
      <w:r>
        <w:rPr>
          <w:rFonts w:ascii="Arial" w:hAnsi="Arial" w:cs="Arial"/>
          <w:color w:val="2C2A29"/>
          <w:spacing w:val="2"/>
        </w:rPr>
        <w:t xml:space="preserve"> рублей по ставке от 1% годовых. А если требуется большая сумма или социальные предприниматели смогут оформить поручительство </w:t>
      </w:r>
      <w:hyperlink r:id="rId4" w:tgtFrame="_blank" w:history="1">
        <w:r>
          <w:rPr>
            <w:rStyle w:val="a4"/>
            <w:rFonts w:ascii="Arial" w:hAnsi="Arial" w:cs="Arial"/>
            <w:spacing w:val="2"/>
            <w:u w:val="none"/>
          </w:rPr>
          <w:t xml:space="preserve">Гарантийного </w:t>
        </w:r>
        <w:proofErr w:type="spellStart"/>
        <w:r>
          <w:rPr>
            <w:rStyle w:val="a4"/>
            <w:rFonts w:ascii="Arial" w:hAnsi="Arial" w:cs="Arial"/>
            <w:spacing w:val="2"/>
            <w:u w:val="none"/>
          </w:rPr>
          <w:t>фонда</w:t>
        </w:r>
      </w:hyperlink>
      <w:r>
        <w:rPr>
          <w:rFonts w:ascii="Arial" w:hAnsi="Arial" w:cs="Arial"/>
          <w:color w:val="2C2A29"/>
          <w:spacing w:val="2"/>
        </w:rPr>
        <w:t>Приморского</w:t>
      </w:r>
      <w:proofErr w:type="spellEnd"/>
      <w:r>
        <w:rPr>
          <w:rFonts w:ascii="Arial" w:hAnsi="Arial" w:cs="Arial"/>
          <w:color w:val="2C2A29"/>
          <w:spacing w:val="2"/>
        </w:rPr>
        <w:t xml:space="preserve"> края на льготных условиях — под 0,5%.</w:t>
      </w:r>
    </w:p>
    <w:p w:rsidR="00821251" w:rsidRDefault="00821251" w:rsidP="00821251">
      <w:pPr>
        <w:pStyle w:val="a3"/>
        <w:shd w:val="clear" w:color="auto" w:fill="FFFFFF"/>
        <w:spacing w:before="0" w:beforeAutospacing="0" w:after="0" w:afterAutospacing="0" w:line="337" w:lineRule="atLeast"/>
        <w:rPr>
          <w:rFonts w:ascii="Arial" w:hAnsi="Arial" w:cs="Arial"/>
          <w:color w:val="2C2A29"/>
          <w:spacing w:val="2"/>
          <w:sz w:val="26"/>
          <w:szCs w:val="26"/>
        </w:rPr>
      </w:pPr>
      <w:r>
        <w:rPr>
          <w:rFonts w:ascii="Arial" w:hAnsi="Arial" w:cs="Arial"/>
          <w:color w:val="2C2A29"/>
          <w:spacing w:val="2"/>
        </w:rPr>
        <w:t xml:space="preserve">Узнать подробную </w:t>
      </w:r>
      <w:proofErr w:type="gramStart"/>
      <w:r>
        <w:rPr>
          <w:rFonts w:ascii="Arial" w:hAnsi="Arial" w:cs="Arial"/>
          <w:color w:val="2C2A29"/>
          <w:spacing w:val="2"/>
        </w:rPr>
        <w:t>информацию про Центр</w:t>
      </w:r>
      <w:proofErr w:type="gramEnd"/>
      <w:r>
        <w:rPr>
          <w:rFonts w:ascii="Arial" w:hAnsi="Arial" w:cs="Arial"/>
          <w:color w:val="2C2A29"/>
          <w:spacing w:val="2"/>
        </w:rPr>
        <w:t xml:space="preserve"> инноваций социальной сферы можно уточнить по телефону: 8 (800) 555-09-33. Поддержка социальных </w:t>
      </w:r>
      <w:r>
        <w:rPr>
          <w:rFonts w:ascii="Arial" w:hAnsi="Arial" w:cs="Arial"/>
          <w:color w:val="2C2A29"/>
          <w:spacing w:val="2"/>
        </w:rPr>
        <w:lastRenderedPageBreak/>
        <w:t>предпринимателей в Приморском крае является одним из ключевых направлений </w:t>
      </w:r>
      <w:hyperlink r:id="rId5" w:tgtFrame="_blank" w:history="1">
        <w:r>
          <w:rPr>
            <w:rStyle w:val="a4"/>
            <w:rFonts w:ascii="Arial" w:hAnsi="Arial" w:cs="Arial"/>
            <w:spacing w:val="2"/>
            <w:u w:val="none"/>
          </w:rPr>
          <w:t>национального проекта «МСП и поддержка индивидуальной предпринимательской инициативы»</w:t>
        </w:r>
      </w:hyperlink>
      <w:r>
        <w:rPr>
          <w:rFonts w:ascii="Arial" w:hAnsi="Arial" w:cs="Arial"/>
          <w:color w:val="2C2A29"/>
          <w:spacing w:val="2"/>
        </w:rPr>
        <w:t>, а также частью большого комплекса мероприятий по улучшению инвестиционного климата в регионе.</w:t>
      </w:r>
      <w:r>
        <w:rPr>
          <w:rFonts w:ascii="Arial" w:hAnsi="Arial" w:cs="Arial"/>
          <w:color w:val="2C2A29"/>
          <w:spacing w:val="2"/>
        </w:rPr>
        <w:br/>
      </w:r>
    </w:p>
    <w:p w:rsidR="00821251" w:rsidRDefault="00821251" w:rsidP="00821251">
      <w:pPr>
        <w:pStyle w:val="a3"/>
        <w:shd w:val="clear" w:color="auto" w:fill="FFFFFF"/>
        <w:spacing w:before="0" w:beforeAutospacing="0" w:after="306" w:afterAutospacing="0" w:line="337" w:lineRule="atLeast"/>
        <w:rPr>
          <w:rFonts w:ascii="Arial" w:hAnsi="Arial" w:cs="Arial"/>
          <w:color w:val="2C2A29"/>
          <w:spacing w:val="2"/>
          <w:sz w:val="26"/>
          <w:szCs w:val="26"/>
        </w:rPr>
      </w:pPr>
      <w:r>
        <w:rPr>
          <w:rFonts w:ascii="Arial" w:hAnsi="Arial" w:cs="Arial"/>
          <w:color w:val="2C2A29"/>
          <w:spacing w:val="2"/>
        </w:rPr>
        <w:t>Блок схема подачи документов для получения гранта</w:t>
      </w:r>
    </w:p>
    <w:p w:rsidR="00821251" w:rsidRDefault="00821251" w:rsidP="00821251">
      <w:pPr>
        <w:pStyle w:val="a3"/>
        <w:shd w:val="clear" w:color="auto" w:fill="FFFFFF"/>
        <w:spacing w:before="0" w:beforeAutospacing="0" w:after="306" w:afterAutospacing="0" w:line="337" w:lineRule="atLeast"/>
        <w:rPr>
          <w:rFonts w:ascii="Arial" w:hAnsi="Arial" w:cs="Arial"/>
          <w:color w:val="2C2A29"/>
          <w:spacing w:val="2"/>
          <w:sz w:val="26"/>
          <w:szCs w:val="26"/>
        </w:rPr>
      </w:pPr>
      <w:r>
        <w:rPr>
          <w:rFonts w:ascii="Arial" w:hAnsi="Arial" w:cs="Arial"/>
          <w:noProof/>
          <w:color w:val="2C2A29"/>
          <w:spacing w:val="2"/>
        </w:rPr>
        <w:drawing>
          <wp:inline distT="0" distB="0" distL="0" distR="0">
            <wp:extent cx="6634480" cy="4338320"/>
            <wp:effectExtent l="19050" t="0" r="0" b="0"/>
            <wp:docPr id="1" name="Рисунок 1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433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C2A29"/>
          <w:spacing w:val="2"/>
        </w:rPr>
        <w:br/>
      </w:r>
    </w:p>
    <w:p w:rsidR="00000000" w:rsidRDefault="00801D1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21251"/>
    <w:rsid w:val="00801D16"/>
    <w:rsid w:val="0082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212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2140">
          <w:blockQuote w:val="1"/>
          <w:marLeft w:val="0"/>
          <w:marRight w:val="0"/>
          <w:marTop w:val="61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rimorsky.ru/regionalnye-proekty/msp-i-podderzhka-individualnoy-predprinimatelskoy-initsiativy/" TargetMode="External"/><Relationship Id="rId4" Type="http://schemas.openxmlformats.org/officeDocument/2006/relationships/hyperlink" Target="http://www.garantpri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</dc:creator>
  <cp:lastModifiedBy>Матюшкина</cp:lastModifiedBy>
  <cp:revision>2</cp:revision>
  <dcterms:created xsi:type="dcterms:W3CDTF">2023-07-18T08:46:00Z</dcterms:created>
  <dcterms:modified xsi:type="dcterms:W3CDTF">2023-07-18T08:46:00Z</dcterms:modified>
</cp:coreProperties>
</file>