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360" w:hanging="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/>
        <w:drawing>
          <wp:inline distT="0" distB="9525" distL="0" distR="9525">
            <wp:extent cx="542925" cy="676275"/>
            <wp:effectExtent l="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right="360" w:hanging="0"/>
        <w:jc w:val="center"/>
        <w:rPr>
          <w:rFonts w:ascii="Times New Roman" w:hAnsi="Times New Roman" w:eastAsia="Times New Roman" w:cs="Times New Roman"/>
          <w:sz w:val="1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10"/>
          <w:szCs w:val="20"/>
          <w:lang w:eastAsia="ru-RU"/>
        </w:rPr>
      </w:r>
    </w:p>
    <w:p>
      <w:pPr>
        <w:pStyle w:val="Normal"/>
        <w:numPr>
          <w:ilvl w:val="0"/>
          <w:numId w:val="0"/>
        </w:numPr>
        <w:ind w:right="360" w:hanging="0"/>
        <w:jc w:val="center"/>
        <w:outlineLvl w:val="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АДМИНИСТРАЦИЯ</w:t>
      </w:r>
    </w:p>
    <w:p>
      <w:pPr>
        <w:pStyle w:val="Normal"/>
        <w:numPr>
          <w:ilvl w:val="0"/>
          <w:numId w:val="0"/>
        </w:numPr>
        <w:ind w:right="360" w:hanging="0"/>
        <w:jc w:val="center"/>
        <w:outlineLvl w:val="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ДАЛЬНЕРЕЧЕНСКОГО ГОРОДСКОГО ОКРУГА</w:t>
      </w:r>
    </w:p>
    <w:p>
      <w:pPr>
        <w:pStyle w:val="Normal"/>
        <w:numPr>
          <w:ilvl w:val="0"/>
          <w:numId w:val="0"/>
        </w:numPr>
        <w:ind w:right="360" w:hanging="0"/>
        <w:jc w:val="center"/>
        <w:outlineLvl w:val="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ПРИМОРСКОГО КРАЯ</w:t>
      </w:r>
    </w:p>
    <w:p>
      <w:pPr>
        <w:pStyle w:val="Normal"/>
        <w:numPr>
          <w:ilvl w:val="0"/>
          <w:numId w:val="0"/>
        </w:numPr>
        <w:ind w:right="360" w:hanging="0"/>
        <w:jc w:val="center"/>
        <w:outlineLvl w:val="0"/>
        <w:rPr>
          <w:rFonts w:ascii="Times New Roman" w:hAnsi="Times New Roman" w:eastAsia="Times New Roman" w:cs="Times New Roman"/>
          <w:b/>
          <w:b/>
          <w:sz w:val="26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0"/>
          <w:lang w:eastAsia="ru-RU"/>
        </w:rPr>
      </w:r>
    </w:p>
    <w:p>
      <w:pPr>
        <w:pStyle w:val="Normal"/>
        <w:numPr>
          <w:ilvl w:val="0"/>
          <w:numId w:val="0"/>
        </w:numPr>
        <w:ind w:right="360" w:hanging="0"/>
        <w:jc w:val="center"/>
        <w:outlineLvl w:val="0"/>
        <w:rPr>
          <w:rFonts w:ascii="Times New Roman" w:hAnsi="Times New Roman" w:eastAsia="Times New Roman" w:cs="Times New Roman"/>
          <w:b/>
          <w:b/>
          <w:sz w:val="26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ПОСТАНОВЛЕНИЕ</w:t>
      </w:r>
    </w:p>
    <w:p>
      <w:pPr>
        <w:pStyle w:val="Normal"/>
        <w:ind w:right="360" w:hanging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ind w:right="360" w:hanging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left" w:pos="3402" w:leader="none"/>
          <w:tab w:val="left" w:pos="3686" w:leader="none"/>
          <w:tab w:val="left" w:pos="5529" w:leader="none"/>
        </w:tabs>
        <w:ind w:right="360" w:hanging="0"/>
        <w:jc w:val="left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bookmarkStart w:id="0" w:name="__DdeLink__507_1389012351"/>
      <w:bookmarkEnd w:id="0"/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12 февраля 2018г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      г. Дальнереченск</w:t>
        <w:tab/>
        <w:t xml:space="preserve">          </w:t>
        <w:tab/>
        <w:t xml:space="preserve">                    №   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104</w:t>
      </w:r>
    </w:p>
    <w:p>
      <w:pPr>
        <w:pStyle w:val="Normal"/>
        <w:ind w:right="360" w:hanging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left" w:pos="3544" w:leader="none"/>
          <w:tab w:val="left" w:pos="3686" w:leader="none"/>
        </w:tabs>
        <w:ind w:right="360" w:hanging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ind w:right="360" w:hanging="0"/>
        <w:jc w:val="left"/>
        <w:rPr>
          <w:rFonts w:ascii="Times New Roman" w:hAnsi="Times New Roman" w:eastAsia="Times New Roman" w:cs="Times New Roman"/>
          <w:b/>
          <w:b/>
          <w:bCs/>
          <w:color w:val="000000"/>
          <w:spacing w:val="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3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Об утверждении Порядка обеспечения питанием воспитанников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муниципальных дошкольных образовательных учреждений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bookmarkStart w:id="1" w:name="_GoBack"/>
      <w:bookmarkEnd w:id="1"/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Дальнереченского городского округа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 Федеральным Законом от 29.12.2012 г. № 273-ФЗ «Об образовании в Российской Федерации», требованиями СанПин 2.4.1.3049-13 «Санитарно-эпидемиологические требования к устройству, содержанию и организации режима работы в дошкольных организациях», в целях упорядочения и обеспечения единого подхода к организации питания воспитанников муниципальных бюджетных дошкольных образовательных учреждений Дальнереченского городского округа, администрация Дальнереченского городского округа</w:t>
      </w:r>
    </w:p>
    <w:p>
      <w:pPr>
        <w:pStyle w:val="Normal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ПОСТАНОВЛЯЕТ: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Утвердить Порядок обеспечения питанием воспитанников муниципальных дошкольных образовательных учреждений Дальнереченского городского округа (прилагается).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Отделу муниципальной службы, кадров и делопроизводства администрации Дальнереченского городского округа (Ивченко) настоящее постановление разместить на официальном Интернет-сайте Дальнереченского городского округа.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3.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Настоящее постановление вступает в силу с момента подписания.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 Контроль за исполнением настоящего постановления возложить на начальника муниципального казенного учреждения «Управление образования» Дальнереченского городского округа Г.А. Балакину.</w:t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36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Глава администрации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Дальнереченского городского округа                                             С.И. Васильев</w:t>
      </w:r>
    </w:p>
    <w:p>
      <w:pPr>
        <w:pStyle w:val="Normal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2" w:name="__DdeLink__507_1389012351"/>
      <w:bookmarkStart w:id="3" w:name="__DdeLink__507_1389012351"/>
      <w:bookmarkEnd w:id="3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УТВЕРЖДЕН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Постановлением администрации Дальнереченского городского округа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от ______________________ г. №_____</w:t>
      </w:r>
    </w:p>
    <w:p>
      <w:pPr>
        <w:pStyle w:val="Normal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ПОРЯДОК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обеспечения питанием воспитанников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муниципальных дошкольных образовательных учреждений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Дальнереченского городского округа</w:t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Общие положения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 Настоящий Порядок определяет порядок взаимодействия, а также условия организации питания детей дошкольного возраста в муниципальных бюджетных  дошкольных образовательных учреждениях Дальнереченского городского округа (далее - МБДОУ).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1.2. Основными задачами организации питания детей в МБДОУ являются: создание условий для его социальной и экономической эффективности, направленных на обеспечение воспитанников рациональным и сбалансированным питанием, гарантирование качества и безопасности питания, пищевых продуктов, используемых в приготовлении блюд.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 Финансирование МБДОУ для организации питания воспитанников осуществляется за счёт средств: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1.3.1. родительской платы, которые вносятся родителями (законными представителями) через учреждения банковской системы (банки) на лицевой счет муниципального дошкольного образовательного учреждения, открытого в органах Федерального казначейства;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1.3.2. местного бюджета воспитанникам дошкольных учреждений следующих категорий: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дети-инвалиды;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дети с туберкулезной интоксикацией;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дети сироты и дети, оставшиеся без попечения родителей.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1.4. Управление образования осуществляет контроль: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за целевым использованием средств родительской платы, средств местного бюджета направляемых на питание;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за организацией питания воспитанников в МБДОУ.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Организация питания </w:t>
      </w:r>
    </w:p>
    <w:p>
      <w:pPr>
        <w:pStyle w:val="Normal"/>
        <w:spacing w:lineRule="auto" w:line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2.1. В соответствии с п. 8 ст. 51 Закона Российской Федерации от 29.12.2012 г. № 273-Ф3 «Об образовании в Российской Федерации»», организация питания в дошкольном образовательном учреждении возлагается на МБДОУ, которое обеспечивает воспитанникам сбалансированное питание.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2.2. Питание в МБДОУ с 10,5 часовой длительностью пребывания детей –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4-х разовое, осуществляется в соответствии с примерным десятидневным меню, в пределах норм, утвержденных СанПиН и должно удовлетворять потребность в энергии и пищевых веществах для детей разных возрастных групп.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2.3. Прием пищи для детей организуется с интервалом не более 4 часов по следующему графику: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08.30 - 09.00 - завтрак;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10.30 - 11.00 - второй завтрак;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12.00- 13.00-обед;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16.00 — 16.30 - уплотненный полдник.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Уплотненный полдник организуется с включением блюд ужина.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2.4. Заведующий МБДОУ обеспечивает условия для организации питания воспитанников в соответствии с установленными требованиями СанПиН.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компетенцию заведующего МБДОУ по организации питания воспитанников и работы пищеблока входит: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Разработка и утверждение примерного 10-дневного меню для дошкольной организации, разработанного на основе физиологических потребностей воспитанников в энергии и основных пищевых веществах с учетом рекомендуемого перечня блюд и кулинарных изделий (прилагается); 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контроль состояния производственной базы пищеблока (текущий ремонт помещений, монтаж, замена устаревшего оборудования, его ремонт и обеспечение запасными частями за счет средств МБДОУ);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контроль за соблюдением требований СанПиН;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обеспечение пищеблока достаточным количеством столовой и кухонной посуды, спецодеждой, санитарно-гигиеническими средствами, разделочным и уборочным инвентарем, а также групповых помещений столовой посудой и приборами согласно списочному составу воспитанников в группах;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заключение договоров на поставку продуктов питания с организацией - поставщиком;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осуществление расчетов средств для закупки продуктов питания в МБДОУ, а также расчетов с поставщиками, учет, контроль и осуществление рационального и целевого использования средств родительской платы на продукты питания;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контроль за доведением пищи до воспитанников и организацией питания воспитанников в группах;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контроль за проведением круглогодичной искусственной С-витаминизации готовых блюд или их обогащением витаминно-минеральными комплексами, специально предназначенными для этой цели (в соответствии с инструкцией и удостоверением о государственной регистрации) либо использованием поливитаминных препаратов специального назначения (детских), в соответствии с инструкцией по применению;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контроль за работой медицинского персонала в целях охраны и укрепления здоровья воспитанников.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2.5. Медицинский работник осуществляет постоянный контроль за: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качеством поставляемых продуктов, их правильным хранением;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соблюдением сроков реализации продуктов;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качеством приготовления пищи;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закладкой основных продуктов и проверкой выхода блюд;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за отбором и условиями хранения суточной пробы готовой продукции;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правильным и своевременным ведением установленной документации;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санитарным состоянием пищеблока, соблюдением личной гигиены его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работников.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2.6. Выдача готовой пищи производится только после проведения приемочного контроля бракеражной комиссией в составе повара, представителя администрации МБДОУ и медицинского работника, и записи в бракеражном журнале результатов оценки вкусовых качеств блюд.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2.7. Для обеспечения преемственности и контроля за питанием МБДОУ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информируют родителей и орган общественного управления об ассортименте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питания воспитанника, вывешивая ежедневное меню.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Условия и порядок обеспечения питанием</w:t>
      </w:r>
    </w:p>
    <w:p>
      <w:pPr>
        <w:pStyle w:val="Normal"/>
        <w:spacing w:lineRule="auto" w:line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3.1. Питание предоставляется воспитанникам МБДОУ только в дни посещения ими МБДОУ. В случае отсутствия воспитанника (по причинам указанным в п. 3.4. Постановления администрации Дальнереченского городского округа  от 05.06.2017г. № 434 «Об утверждении методики расчета нормативных затрат на оказание услуг по присмотру и уходу за детьми в дошкольных образовательных учреждениях, методики расчета размера родительской платы за присмотр и уход за детьми, осваивающими образовательные программы дошкольного образования, порядка взимания и распределения родительской платы за присмотр и уход за детьми в дошкольных образовательных учреждениях Дальнереченского городского округа»), делается перерасчет размера родительской платы в соответствие с табелем посещаемости. Внесенная плата за время непосещения ребенком дошкольного учреждения, засчитывается в последующие платежи.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3.2. МБДОУ ведёт ежедневный учёт: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а) количества питающихся воспитанников;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б) стоимости рационов питания.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 Взаимодействие с МКУ «Управление образования» по организации питания: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4.1. При организации питания воспитанников МДОУ осуществляет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взаимодействие с МКУ «Управление образования».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4.2. МКУ «Управление образования» осуществляет контроль за:</w:t>
      </w:r>
    </w:p>
    <w:p>
      <w:pPr>
        <w:pStyle w:val="Normal"/>
        <w:spacing w:lineRule="auto" w:line="360"/>
        <w:ind w:left="708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организацией питания воспитанников;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соблюдением натуральных норм продуктов;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правильностью закладки основных продуктов питания путем контрольного взвешивания продуктов, и сопоставления полученных данных с меню-требованием и технологической картой;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технологией приготовления пищи, нормами закладки сырья, выходом готовой продукции в соответствии с СанПиН.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4.3. МКУ «Управление образования» ведет следующую документацию: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ежемесячный, полугодовой и годовой сводные отчеты по питанию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воспитанников МБДОУ, содержащие следующую информацию: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а) фактическое число дето-дней в отчетном периоде;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б) стоимость питания на одного ребенка.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4.4. МБДОУ ведет следующую документацию: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документы по бухгалтерским расчетам с поставщиками продуктов питания;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журнал бракеража сырых продуктов, а также журнал бракеража готовой продукции, оформленные по образцу согласно СанПиН;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документы производственного и лабораторного контроля, оформленные согласно требованиям СанПиН;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технологические карты на блюда и изделия;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примерное десятидневное меню, ежедневное меню-требование;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5. Ответственность </w:t>
      </w:r>
    </w:p>
    <w:p>
      <w:pPr>
        <w:pStyle w:val="Normal"/>
        <w:spacing w:lineRule="auto" w:line="3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5.1. МБДОУ несёт ответственность в установленном законодательством Российской Федерации порядке в случае: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нарушения обязательств по муниципальным контрактам,  договорам и иным соглашениям;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нарушения действующего законодательства, муниципальных правовых актов, настоящего Порядка;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недостоверности, отсутствия полноты сведений и ненадлежащего оформления документации;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не сохранности документации;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нерационального и нецелевого использования средств родительской платы;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несоблюдения требований к качеству питания воспитанников.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5.2. МКУ «Управление образования» несёт ответственность в установленном законодательством Российской Федерации порядке в случае: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-несвоевременного формирования, недостоверного и ненадлежащего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оформления документации, не сохранности документации;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нарушения действующего законодательства, муниципальных правовых актов, настоящего Порядка.</w:t>
      </w:r>
    </w:p>
    <w:p>
      <w:pPr>
        <w:pStyle w:val="Normal"/>
        <w:spacing w:lineRule="auto" w:line="360"/>
        <w:jc w:val="both"/>
        <w:rPr>
          <w:rFonts w:ascii="Arial" w:hAnsi="Arial" w:eastAsia="Times New Roman" w:cs="Arial"/>
          <w:sz w:val="28"/>
          <w:szCs w:val="28"/>
          <w:lang w:eastAsia="ru-RU"/>
        </w:rPr>
      </w:pPr>
      <w:r>
        <w:rPr>
          <w:rFonts w:eastAsia="Times New Roman" w:cs="Arial" w:ascii="Arial" w:hAnsi="Arial"/>
          <w:sz w:val="28"/>
          <w:szCs w:val="28"/>
          <w:lang w:eastAsia="ru-RU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tabs>
          <w:tab w:val="left" w:pos="5670" w:leader="none"/>
          <w:tab w:val="left" w:pos="5812" w:leader="none"/>
        </w:tabs>
        <w:spacing w:lineRule="auto" w:line="276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                                            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Приложение </w:t>
      </w:r>
    </w:p>
    <w:p>
      <w:pPr>
        <w:pStyle w:val="Normal"/>
        <w:tabs>
          <w:tab w:val="left" w:pos="5670" w:leader="none"/>
          <w:tab w:val="left" w:pos="5812" w:leader="none"/>
        </w:tabs>
        <w:spacing w:lineRule="auto" w:line="276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                                                                     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к Порядку утвержденному</w:t>
      </w:r>
    </w:p>
    <w:p>
      <w:pPr>
        <w:pStyle w:val="Normal"/>
        <w:tabs>
          <w:tab w:val="left" w:pos="5670" w:leader="none"/>
          <w:tab w:val="left" w:pos="5812" w:leader="none"/>
        </w:tabs>
        <w:spacing w:lineRule="auto" w:line="276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постановлением администрации</w:t>
      </w:r>
    </w:p>
    <w:p>
      <w:pPr>
        <w:pStyle w:val="Normal"/>
        <w:tabs>
          <w:tab w:val="left" w:pos="5670" w:leader="none"/>
          <w:tab w:val="left" w:pos="5812" w:leader="none"/>
        </w:tabs>
        <w:spacing w:lineRule="auto" w:line="276"/>
        <w:jc w:val="righ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Дальнереченского городского округа</w:t>
      </w:r>
    </w:p>
    <w:p>
      <w:pPr>
        <w:pStyle w:val="Normal"/>
        <w:tabs>
          <w:tab w:val="left" w:pos="5812" w:leader="none"/>
        </w:tabs>
        <w:spacing w:lineRule="auto" w:line="276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от________________ №________</w:t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Рекомендации </w:t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по набору основных блюд в фактических 10-ти дневных меню </w:t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дошкольных образовательных учреждений </w:t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Дальнереченского городского округа </w:t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(с учетом организации уплотненного полдника с включением блюд ужина)</w:t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Style w:val="a5"/>
        <w:tblW w:w="1013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10"/>
        <w:gridCol w:w="1651"/>
        <w:gridCol w:w="5359"/>
        <w:gridCol w:w="2516"/>
      </w:tblGrid>
      <w:tr>
        <w:trPr>
          <w:trHeight w:val="828" w:hRule="atLeast"/>
        </w:trPr>
        <w:tc>
          <w:tcPr>
            <w:tcW w:w="61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5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Дни примерного меню</w:t>
            </w:r>
          </w:p>
        </w:tc>
        <w:tc>
          <w:tcPr>
            <w:tcW w:w="53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Рекомендуемый перечень блюд и кулинарных изделий</w:t>
            </w:r>
          </w:p>
        </w:tc>
        <w:tc>
          <w:tcPr>
            <w:tcW w:w="25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Рекомендуемое распределение калорийности между приемами пищи в %</w:t>
            </w:r>
          </w:p>
        </w:tc>
      </w:tr>
      <w:tr>
        <w:trPr>
          <w:trHeight w:val="621" w:hRule="atLeast"/>
        </w:trPr>
        <w:tc>
          <w:tcPr>
            <w:tcW w:w="610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51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Первый день</w:t>
            </w:r>
          </w:p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Второй день</w:t>
            </w:r>
          </w:p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 т.д.</w:t>
            </w:r>
          </w:p>
        </w:tc>
        <w:tc>
          <w:tcPr>
            <w:tcW w:w="535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5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20 - 25%</w:t>
            </w:r>
          </w:p>
        </w:tc>
      </w:tr>
      <w:tr>
        <w:trPr/>
        <w:tc>
          <w:tcPr>
            <w:tcW w:w="610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51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3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Каши молочные, блюда из яиц, блюда из творога, </w:t>
            </w:r>
          </w:p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бутерброд с маслом, сыром, </w:t>
            </w:r>
          </w:p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напиток (чай, какао, кофейный напиток)</w:t>
            </w:r>
          </w:p>
        </w:tc>
        <w:tc>
          <w:tcPr>
            <w:tcW w:w="25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Autospacing="1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28" w:hRule="atLeast"/>
        </w:trPr>
        <w:tc>
          <w:tcPr>
            <w:tcW w:w="610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51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35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2-й завтрак</w:t>
            </w:r>
          </w:p>
        </w:tc>
        <w:tc>
          <w:tcPr>
            <w:tcW w:w="25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5%</w:t>
            </w:r>
          </w:p>
        </w:tc>
      </w:tr>
      <w:tr>
        <w:trPr/>
        <w:tc>
          <w:tcPr>
            <w:tcW w:w="610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51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3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Фрукты, соки,</w:t>
            </w:r>
          </w:p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кисломолочные продукты</w:t>
            </w:r>
          </w:p>
        </w:tc>
        <w:tc>
          <w:tcPr>
            <w:tcW w:w="25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29" w:hRule="atLeast"/>
        </w:trPr>
        <w:tc>
          <w:tcPr>
            <w:tcW w:w="610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51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35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5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30 - 35%</w:t>
            </w:r>
          </w:p>
        </w:tc>
      </w:tr>
      <w:tr>
        <w:trPr/>
        <w:tc>
          <w:tcPr>
            <w:tcW w:w="610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51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3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Овощные салаты, порционные овощи,</w:t>
            </w:r>
          </w:p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закуски из сельди</w:t>
            </w:r>
          </w:p>
        </w:tc>
        <w:tc>
          <w:tcPr>
            <w:tcW w:w="25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10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51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3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1-е блюдо суп</w:t>
            </w:r>
          </w:p>
        </w:tc>
        <w:tc>
          <w:tcPr>
            <w:tcW w:w="25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10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51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3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2-е блюдо гарнир (каши, овощные блюда) и блюда из мяса, рыбы или птицы</w:t>
            </w:r>
          </w:p>
        </w:tc>
        <w:tc>
          <w:tcPr>
            <w:tcW w:w="25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10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51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3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Компот, кисель,</w:t>
            </w:r>
          </w:p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хлеб</w:t>
            </w:r>
          </w:p>
        </w:tc>
        <w:tc>
          <w:tcPr>
            <w:tcW w:w="25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10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51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3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уплотненный полдник (с включением блюд ужина)</w:t>
            </w:r>
          </w:p>
        </w:tc>
        <w:tc>
          <w:tcPr>
            <w:tcW w:w="25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20-25%</w:t>
            </w:r>
          </w:p>
        </w:tc>
      </w:tr>
      <w:tr>
        <w:trPr/>
        <w:tc>
          <w:tcPr>
            <w:tcW w:w="610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51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3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Овощные блюда, салаты,</w:t>
            </w:r>
          </w:p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Блюда из яиц, запеканка, пудинг,</w:t>
            </w:r>
          </w:p>
        </w:tc>
        <w:tc>
          <w:tcPr>
            <w:tcW w:w="25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75" w:hRule="atLeast"/>
        </w:trPr>
        <w:tc>
          <w:tcPr>
            <w:tcW w:w="610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51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3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Напиток (чай, сок, кисель)</w:t>
            </w:r>
          </w:p>
        </w:tc>
        <w:tc>
          <w:tcPr>
            <w:tcW w:w="25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09" w:hRule="atLeast"/>
        </w:trPr>
        <w:tc>
          <w:tcPr>
            <w:tcW w:w="610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51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3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Кондитерские изделия (без крема), выпечка</w:t>
            </w:r>
          </w:p>
        </w:tc>
        <w:tc>
          <w:tcPr>
            <w:tcW w:w="251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76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Примечание: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зависимости от условий (набора помещений) на пищеблоке для приготовления блюд и изделий используются сырье или полуфабрикаты.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Пищевые продукты и продовольственное сырье должны храниться в соответствии с условиями хранения и сроками годности, установленными предприятием-изготовителем.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На завтрак рекомендуется включать масло сливочное, сыр, горячие напитки (чай с сахаром, лимоном, молоком, шиповником, какао или кофейный напиток), повидло, джем, батон, хлеб пшеничный, ржаной или ржано-пшеничный. 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Напитки по рационам питания учреждение определяет самостоятельно, при условии, что в течение дня они не должны повторяться.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 2-й завтрак рекомендуется включать соки, свежие фрукты, компоты, напитки из свежих или сухих фруктов и ягод, витаминизированные напитки (промышленного или собственного производства, в том числе с шиповником, лимоном), кисломолочные напитки, молоко.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отсутствии свежих фруктов возможна их замена на соки. Для приготовления компотов, напитков, сладких соусов можно использовать быстрозамороженные фрукты и ягоды.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включении в рационы блюд из творога, запеканок, пудингов, блинчиков и др. рекомендуется дополнительно предусмотреть масло сливочное, молоко сгущенное, соус молочный, сметанный или фруктово-ягодный, сироп, мед, повидло, джем или фрукты консервированные.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Ассортимент 1-х блюд учреждение определяет самостоятельно. В случае, когда первое блюдо вегетарианское, рекомендуется предусмотреть сметану. 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 обед необходимо включать 2 наименования хлеба: пшеничный и ржаной/ржано</w:t>
        <w:softHyphen/>
        <w:t xml:space="preserve">-пшеничный. 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рационы питания рекомендуется включать сладкие блюда и мучные кулинарные изделия с использованием свежих фруктов (яблоки печеные, яблоки, запеченные с творогом, фруктово-ягодные соусы, мучные изделия с фруктовыми фаршами). 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Блюда и изделия не должны повторяться в один и тот же день или последующие два дня. 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ежедневном меню указывается наименование блюд и изделий, объемы порций.</w:t>
      </w:r>
    </w:p>
    <w:p>
      <w:pPr>
        <w:pStyle w:val="Normal"/>
        <w:spacing w:lineRule="auto" w:line="360"/>
        <w:jc w:val="both"/>
        <w:rPr/>
      </w:pPr>
      <w:r>
        <w:rPr/>
      </w:r>
    </w:p>
    <w:sectPr>
      <w:type w:val="nextPage"/>
      <w:pgSz w:w="11906" w:h="16838"/>
      <w:pgMar w:left="1134" w:right="851" w:header="0" w:top="851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4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b20240"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iPriority w:val="99"/>
    <w:unhideWhenUsed/>
    <w:rsid w:val="00604fef"/>
    <w:rPr>
      <w:color w:val="0000FF" w:themeColor="hyperlink"/>
      <w:u w:val="single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b20240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87c02"/>
    <w:pPr>
      <w:spacing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057A0-58B6-47B6-B066-BE4ECA95D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Application>LibreOffice/5.1.6.2$Linux_X86_64 LibreOffice_project/10m0$Build-2</Application>
  <Pages>11</Pages>
  <Words>1536</Words>
  <Characters>11307</Characters>
  <CharactersWithSpaces>13089</CharactersWithSpaces>
  <Paragraphs>160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2018-01-18T04:45:00Z</dcterms:created>
  <dc:creator>Кузьмина Е.М.</dc:creator>
  <dc:description/>
  <dc:language>ru-RU</dc:language>
  <cp:lastModifiedBy/>
  <cp:lastPrinted>2018-02-12T07:35:00Z</cp:lastPrinted>
  <dcterms:modified xsi:type="dcterms:W3CDTF">2018-02-26T10:07:48Z</dcterms:modified>
  <cp:revision>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