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5"/>
        <w:ind w:firstLine="4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0969" cy="677880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40969" cy="677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2.60pt;height:53.38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pStyle w:val="90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0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ДАЛЬНЕРЕЧЕНСКОГО ГОРОДСКОГО ОКРУГА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0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</w:t>
      </w:r>
      <w:r>
        <w:rPr>
          <w:b/>
          <w:sz w:val="28"/>
          <w:szCs w:val="28"/>
        </w:rPr>
        <w:t xml:space="preserve">КРАЯ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05"/>
        <w:jc w:val="center"/>
        <w:spacing w:line="360" w:lineRule="auto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tabs>
          <w:tab w:val="left" w:pos="3686" w:leader="none"/>
          <w:tab w:val="left" w:pos="3828" w:leader="none"/>
          <w:tab w:val="left" w:pos="4111" w:leader="none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24.09.2026 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г. Дальнереченск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873-па</w:t>
      </w:r>
      <w:r>
        <w:rPr>
          <w:sz w:val="28"/>
          <w:szCs w:val="28"/>
          <w:u w:val="single"/>
        </w:rPr>
      </w:r>
    </w:p>
    <w:p>
      <w:pPr>
        <w:pStyle w:val="905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6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постановление администрации Дальнереченского</w:t>
      </w:r>
      <w:r>
        <w:rPr>
          <w:b/>
          <w:szCs w:val="28"/>
        </w:rPr>
        <w:t xml:space="preserve"> городского округа </w:t>
      </w:r>
      <w:r>
        <w:rPr>
          <w:b/>
          <w:szCs w:val="28"/>
        </w:rPr>
        <w:t xml:space="preserve">от </w:t>
      </w:r>
      <w:r>
        <w:rPr>
          <w:b/>
          <w:szCs w:val="28"/>
        </w:rPr>
        <w:t xml:space="preserve">18.03.</w:t>
      </w:r>
      <w:r>
        <w:rPr>
          <w:b/>
          <w:szCs w:val="28"/>
        </w:rPr>
        <w:t xml:space="preserve">20</w:t>
      </w:r>
      <w:r>
        <w:rPr>
          <w:b/>
          <w:szCs w:val="28"/>
        </w:rPr>
        <w:t xml:space="preserve">25</w:t>
      </w:r>
      <w:r>
        <w:rPr>
          <w:b/>
          <w:szCs w:val="28"/>
        </w:rPr>
        <w:t xml:space="preserve"> </w:t>
      </w:r>
      <w:r>
        <w:rPr>
          <w:b/>
          <w:szCs w:val="28"/>
        </w:rPr>
        <w:t xml:space="preserve">№</w:t>
      </w:r>
      <w:r>
        <w:rPr>
          <w:b/>
          <w:szCs w:val="28"/>
        </w:rPr>
        <w:t xml:space="preserve"> </w:t>
      </w:r>
      <w:r>
        <w:rPr>
          <w:b/>
          <w:szCs w:val="28"/>
        </w:rPr>
        <w:t xml:space="preserve">461-па</w:t>
      </w:r>
      <w:r>
        <w:rPr>
          <w:b/>
          <w:szCs w:val="28"/>
        </w:rPr>
        <w:t xml:space="preserve"> </w:t>
      </w:r>
      <w:r>
        <w:rPr>
          <w:b/>
          <w:szCs w:val="28"/>
        </w:rPr>
        <w:t xml:space="preserve">«</w:t>
      </w:r>
      <w:r>
        <w:rPr>
          <w:b/>
          <w:szCs w:val="28"/>
        </w:rPr>
        <w:t xml:space="preserve">О</w:t>
      </w:r>
      <w:r>
        <w:rPr>
          <w:b/>
          <w:szCs w:val="28"/>
        </w:rPr>
        <w:t xml:space="preserve">б утверждении Положения об оплате </w:t>
      </w:r>
      <w:r>
        <w:rPr>
          <w:b/>
          <w:szCs w:val="28"/>
        </w:rPr>
        <w:t xml:space="preserve">труда</w:t>
      </w:r>
      <w:r>
        <w:rPr>
          <w:b/>
          <w:szCs w:val="28"/>
        </w:rPr>
        <w:t xml:space="preserve"> работников муниципальных </w:t>
      </w:r>
      <w:r>
        <w:rPr>
          <w:b/>
          <w:szCs w:val="28"/>
        </w:rPr>
        <w:t xml:space="preserve">образовательных </w:t>
      </w:r>
      <w:r>
        <w:rPr>
          <w:b/>
          <w:szCs w:val="28"/>
        </w:rPr>
        <w:t xml:space="preserve">учреждени</w:t>
      </w:r>
      <w:r>
        <w:rPr>
          <w:b/>
          <w:szCs w:val="28"/>
        </w:rPr>
        <w:t xml:space="preserve">й</w:t>
      </w:r>
      <w:r>
        <w:rPr>
          <w:b/>
          <w:szCs w:val="28"/>
        </w:rPr>
        <w:t xml:space="preserve"> дополнительного образования</w:t>
      </w:r>
      <w:r>
        <w:rPr>
          <w:b/>
          <w:szCs w:val="28"/>
        </w:rPr>
        <w:t xml:space="preserve"> </w:t>
      </w:r>
      <w:r>
        <w:rPr>
          <w:b/>
          <w:szCs w:val="28"/>
        </w:rPr>
        <w:t xml:space="preserve">Дальнереченского</w:t>
      </w:r>
      <w:r>
        <w:rPr>
          <w:b/>
          <w:szCs w:val="28"/>
        </w:rPr>
        <w:t xml:space="preserve"> городского </w:t>
      </w:r>
      <w:r>
        <w:rPr>
          <w:b/>
          <w:szCs w:val="28"/>
        </w:rPr>
        <w:t xml:space="preserve">округа»</w:t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905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ind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</w:t>
      </w:r>
      <w:r>
        <w:rPr>
          <w:sz w:val="28"/>
          <w:szCs w:val="28"/>
        </w:rPr>
        <w:t xml:space="preserve">о статьей 134</w:t>
      </w:r>
      <w:r>
        <w:rPr>
          <w:sz w:val="28"/>
          <w:szCs w:val="28"/>
        </w:rPr>
        <w:t xml:space="preserve"> Трудов</w:t>
      </w:r>
      <w:r>
        <w:rPr>
          <w:sz w:val="28"/>
          <w:szCs w:val="28"/>
        </w:rPr>
        <w:t xml:space="preserve">ого</w:t>
      </w:r>
      <w:r>
        <w:rPr>
          <w:sz w:val="28"/>
          <w:szCs w:val="28"/>
        </w:rPr>
        <w:t xml:space="preserve"> кодекс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Российской Федерации, </w:t>
      </w:r>
      <w:r>
        <w:rPr>
          <w:sz w:val="28"/>
          <w:szCs w:val="28"/>
        </w:rPr>
        <w:t xml:space="preserve">статьей 8 решения Думы Дальнереченского городского округа от 23</w:t>
      </w:r>
      <w:r>
        <w:rPr>
          <w:sz w:val="28"/>
          <w:szCs w:val="28"/>
        </w:rPr>
        <w:t xml:space="preserve">.12.2025</w:t>
      </w:r>
      <w:r>
        <w:rPr>
          <w:sz w:val="28"/>
          <w:szCs w:val="28"/>
        </w:rPr>
        <w:t xml:space="preserve">  № </w:t>
      </w:r>
      <w:r>
        <w:rPr>
          <w:sz w:val="28"/>
          <w:szCs w:val="28"/>
        </w:rPr>
        <w:t xml:space="preserve">102-МПА</w:t>
      </w:r>
      <w:r>
        <w:rPr>
          <w:sz w:val="28"/>
          <w:szCs w:val="28"/>
        </w:rPr>
        <w:t xml:space="preserve"> «О бюджете Дальнереченского городского округа на 2026</w:t>
      </w:r>
      <w:r>
        <w:rPr>
          <w:sz w:val="28"/>
          <w:szCs w:val="28"/>
        </w:rPr>
        <w:t xml:space="preserve"> год и плановый период 2027</w:t>
      </w:r>
      <w:r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2028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</w:t>
      </w:r>
      <w:r>
        <w:rPr>
          <w:sz w:val="28"/>
          <w:szCs w:val="28"/>
        </w:rPr>
        <w:t xml:space="preserve">ем администрации Дальнереченского городского округа от 01.09.2026 № 798-па «Об индексации заработной платы работников муниципальных учреждений, финансируемых из бюджета Дальнереченского городского округа», постановлением</w:t>
      </w:r>
      <w:r>
        <w:rPr>
          <w:sz w:val="28"/>
          <w:szCs w:val="28"/>
        </w:rPr>
        <w:t xml:space="preserve"> Правительства Приморского края от 0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.09</w:t>
      </w:r>
      <w:r>
        <w:rPr>
          <w:sz w:val="28"/>
          <w:szCs w:val="28"/>
        </w:rPr>
        <w:t xml:space="preserve">.202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№ 6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-пп </w:t>
      </w:r>
      <w:r>
        <w:rPr>
          <w:sz w:val="28"/>
          <w:szCs w:val="28"/>
        </w:rPr>
        <w:t xml:space="preserve">«О внесении изменений в постановление Правительства Приморского края от 01.09.2025  № 691-пп </w:t>
      </w:r>
      <w:r>
        <w:rPr>
          <w:sz w:val="28"/>
          <w:szCs w:val="28"/>
        </w:rPr>
        <w:t xml:space="preserve">«Об индексации заработной платы работников государственных учреждений Приморского края в 2026</w:t>
      </w:r>
      <w:r>
        <w:rPr>
          <w:sz w:val="28"/>
          <w:szCs w:val="28"/>
        </w:rPr>
        <w:t xml:space="preserve"> году»,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Дальнереченского городского округа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ind w:firstLine="720"/>
        <w:jc w:val="both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905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ind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ind w:firstLine="90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постановление администрации Дальнереченского городского округа от </w:t>
      </w:r>
      <w:r>
        <w:rPr>
          <w:sz w:val="28"/>
          <w:szCs w:val="28"/>
        </w:rPr>
        <w:t xml:space="preserve">18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марта</w:t>
      </w:r>
      <w:r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25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461-па</w:t>
      </w:r>
      <w:r>
        <w:rPr>
          <w:sz w:val="28"/>
          <w:szCs w:val="28"/>
        </w:rPr>
        <w:t xml:space="preserve"> «Об утверждении Положения об оплате труда работников муниципальных образовательных учреждений дополнительного образования Дальнереченского городского округа»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1 «</w:t>
      </w:r>
      <w:r>
        <w:rPr>
          <w:sz w:val="28"/>
          <w:szCs w:val="28"/>
        </w:rPr>
        <w:t xml:space="preserve">Минимальные р</w:t>
      </w:r>
      <w:r>
        <w:rPr>
          <w:sz w:val="28"/>
          <w:szCs w:val="28"/>
        </w:rPr>
        <w:t xml:space="preserve">азмеры окладов работников образовательных учреждений</w:t>
      </w:r>
      <w:r>
        <w:rPr>
          <w:sz w:val="28"/>
          <w:szCs w:val="28"/>
        </w:rPr>
        <w:t xml:space="preserve"> дополнительного образования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 об оплате труда работников муниципальных образовательных учреждений</w:t>
      </w:r>
      <w:r>
        <w:rPr>
          <w:sz w:val="28"/>
          <w:szCs w:val="28"/>
        </w:rPr>
        <w:t xml:space="preserve"> дополнительного образования</w:t>
      </w:r>
      <w:r>
        <w:rPr>
          <w:sz w:val="28"/>
          <w:szCs w:val="28"/>
        </w:rPr>
        <w:t xml:space="preserve"> Дальнереченского городского округа изложить в следующей редакции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ind w:firstLine="708"/>
        <w:jc w:val="both"/>
        <w:spacing w:line="360" w:lineRule="auto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 </w:t>
      </w:r>
      <w:r>
        <w:rPr>
          <w:sz w:val="28"/>
          <w:szCs w:val="28"/>
        </w:rPr>
        <w:t xml:space="preserve">Организационно-информационному отделу</w:t>
      </w:r>
      <w:r>
        <w:rPr>
          <w:sz w:val="28"/>
          <w:szCs w:val="28"/>
        </w:rPr>
        <w:t xml:space="preserve"> администрации Дальнереченского городского округа</w:t>
      </w:r>
      <w:r>
        <w:rPr>
          <w:sz w:val="28"/>
          <w:szCs w:val="28"/>
        </w:rPr>
        <w:t xml:space="preserve"> (Харитонова О.Н.)</w:t>
      </w:r>
      <w:r>
        <w:rPr>
          <w:sz w:val="28"/>
          <w:szCs w:val="28"/>
        </w:rPr>
        <w:t xml:space="preserve"> настоящее постановление </w:t>
      </w:r>
      <w:r>
        <w:rPr>
          <w:sz w:val="28"/>
          <w:szCs w:val="28"/>
        </w:rPr>
        <w:t xml:space="preserve">разместить на официальном сайте Дальнереченского городского округа.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05"/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Настоящее постановление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вступает в силу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01 </w:t>
      </w:r>
      <w:r>
        <w:rPr>
          <w:sz w:val="28"/>
          <w:szCs w:val="28"/>
        </w:rPr>
        <w:t xml:space="preserve">октября</w:t>
      </w:r>
      <w:r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ind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за исполнением</w:t>
      </w:r>
      <w:r>
        <w:rPr>
          <w:sz w:val="28"/>
          <w:szCs w:val="28"/>
        </w:rPr>
        <w:t xml:space="preserve"> настоящего постановления возложить на начальника муниципального казенного учреждения «Управление образования» Дальнереченского городского округа В</w:t>
      </w:r>
      <w:r>
        <w:rPr>
          <w:sz w:val="28"/>
          <w:szCs w:val="28"/>
        </w:rPr>
        <w:t xml:space="preserve">.П. Зозуля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лав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Дальнереченского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                                     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С.В. Старков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8"/>
        <w:ind w:left="6995" w:firstLine="85"/>
        <w:jc w:val="center"/>
        <w:spacing w:line="360" w:lineRule="auto"/>
        <w:rPr>
          <w:rStyle w:val="927"/>
          <w:rFonts w:ascii="Times New Roman" w:hAnsi="Times New Roman"/>
          <w:color w:val="000000"/>
          <w:sz w:val="28"/>
          <w:szCs w:val="28"/>
        </w:rPr>
      </w:pP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</w:p>
    <w:p>
      <w:pPr>
        <w:pStyle w:val="928"/>
        <w:rPr>
          <w:rStyle w:val="927"/>
          <w:rFonts w:ascii="Times New Roman" w:hAnsi="Times New Roman"/>
          <w:color w:val="000000"/>
          <w:sz w:val="28"/>
          <w:szCs w:val="28"/>
        </w:rPr>
      </w:pP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</w:p>
    <w:p>
      <w:pPr>
        <w:pStyle w:val="928"/>
        <w:rPr>
          <w:rStyle w:val="927"/>
          <w:rFonts w:ascii="Times New Roman" w:hAnsi="Times New Roman"/>
          <w:color w:val="000000"/>
          <w:sz w:val="28"/>
          <w:szCs w:val="28"/>
        </w:rPr>
      </w:pP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</w:p>
    <w:p>
      <w:pPr>
        <w:pStyle w:val="928"/>
        <w:rPr>
          <w:rStyle w:val="927"/>
          <w:rFonts w:ascii="Times New Roman" w:hAnsi="Times New Roman"/>
          <w:color w:val="000000"/>
          <w:sz w:val="28"/>
          <w:szCs w:val="28"/>
        </w:rPr>
      </w:pP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</w:p>
    <w:p>
      <w:pPr>
        <w:pStyle w:val="928"/>
        <w:rPr>
          <w:rStyle w:val="927"/>
          <w:rFonts w:ascii="Times New Roman" w:hAnsi="Times New Roman"/>
          <w:color w:val="000000"/>
          <w:sz w:val="28"/>
          <w:szCs w:val="28"/>
        </w:rPr>
      </w:pP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</w:p>
    <w:p>
      <w:pPr>
        <w:pStyle w:val="928"/>
        <w:rPr>
          <w:rStyle w:val="927"/>
          <w:rFonts w:ascii="Times New Roman" w:hAnsi="Times New Roman"/>
          <w:color w:val="000000"/>
          <w:sz w:val="28"/>
          <w:szCs w:val="28"/>
        </w:rPr>
      </w:pP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</w:p>
    <w:p>
      <w:pPr>
        <w:pStyle w:val="928"/>
        <w:rPr>
          <w:rStyle w:val="927"/>
          <w:rFonts w:ascii="Times New Roman" w:hAnsi="Times New Roman"/>
          <w:color w:val="000000"/>
          <w:sz w:val="28"/>
          <w:szCs w:val="28"/>
        </w:rPr>
      </w:pP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</w:p>
    <w:p>
      <w:pPr>
        <w:pStyle w:val="928"/>
        <w:rPr>
          <w:rStyle w:val="927"/>
          <w:rFonts w:ascii="Times New Roman" w:hAnsi="Times New Roman"/>
          <w:color w:val="000000"/>
          <w:sz w:val="28"/>
          <w:szCs w:val="28"/>
        </w:rPr>
      </w:pP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</w:p>
    <w:p>
      <w:pPr>
        <w:pStyle w:val="928"/>
        <w:rPr>
          <w:rStyle w:val="927"/>
          <w:rFonts w:ascii="Times New Roman" w:hAnsi="Times New Roman"/>
          <w:color w:val="000000"/>
          <w:sz w:val="28"/>
          <w:szCs w:val="28"/>
        </w:rPr>
      </w:pP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</w:p>
    <w:p>
      <w:pPr>
        <w:pStyle w:val="928"/>
        <w:ind w:left="4820"/>
        <w:jc w:val="center"/>
        <w:rPr>
          <w:rStyle w:val="927"/>
          <w:rFonts w:ascii="Times New Roman" w:hAnsi="Times New Roman"/>
          <w:color w:val="000000"/>
          <w:sz w:val="28"/>
          <w:szCs w:val="28"/>
        </w:rPr>
      </w:pPr>
      <w:r>
        <w:rPr>
          <w:rStyle w:val="927"/>
          <w:rFonts w:ascii="Times New Roman" w:hAnsi="Times New Roman"/>
          <w:color w:val="000000"/>
          <w:sz w:val="28"/>
          <w:szCs w:val="28"/>
        </w:rPr>
        <w:br w:type="page" w:clear="all"/>
      </w:r>
      <w:r>
        <w:rPr>
          <w:rStyle w:val="927"/>
          <w:rFonts w:ascii="Times New Roman" w:hAnsi="Times New Roman"/>
          <w:color w:val="000000"/>
          <w:sz w:val="28"/>
          <w:szCs w:val="28"/>
        </w:rPr>
        <w:t xml:space="preserve">П</w:t>
      </w:r>
      <w:r>
        <w:rPr>
          <w:rStyle w:val="927"/>
          <w:rFonts w:ascii="Times New Roman" w:hAnsi="Times New Roman"/>
          <w:color w:val="000000"/>
          <w:sz w:val="28"/>
          <w:szCs w:val="28"/>
        </w:rPr>
        <w:t xml:space="preserve">риложение</w:t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</w:p>
    <w:p>
      <w:pPr>
        <w:pStyle w:val="928"/>
        <w:ind w:left="4820"/>
        <w:rPr>
          <w:rStyle w:val="927"/>
          <w:rFonts w:ascii="Times New Roman" w:hAnsi="Times New Roman"/>
          <w:color w:val="000000"/>
          <w:sz w:val="28"/>
          <w:szCs w:val="28"/>
        </w:rPr>
      </w:pPr>
      <w:r>
        <w:rPr>
          <w:rStyle w:val="927"/>
          <w:rFonts w:ascii="Times New Roman" w:hAnsi="Times New Roman"/>
          <w:color w:val="000000"/>
          <w:sz w:val="28"/>
          <w:szCs w:val="28"/>
        </w:rPr>
        <w:t xml:space="preserve">к Постановлению </w:t>
      </w:r>
      <w:r>
        <w:rPr>
          <w:rStyle w:val="927"/>
          <w:rFonts w:ascii="Times New Roman" w:hAnsi="Times New Roman"/>
          <w:color w:val="000000"/>
          <w:sz w:val="28"/>
          <w:szCs w:val="28"/>
        </w:rPr>
        <w:t xml:space="preserve">администрации Дальнереченского городского округа </w:t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</w:p>
    <w:p>
      <w:pPr>
        <w:pStyle w:val="928"/>
        <w:ind w:left="4820"/>
        <w:rPr>
          <w:rStyle w:val="927"/>
          <w:rFonts w:ascii="Times New Roman" w:hAnsi="Times New Roman"/>
          <w:color w:val="000000"/>
          <w:sz w:val="28"/>
          <w:szCs w:val="28"/>
        </w:rPr>
      </w:pPr>
      <w:r>
        <w:rPr>
          <w:rStyle w:val="927"/>
          <w:rFonts w:ascii="Times New Roman" w:hAnsi="Times New Roman"/>
          <w:color w:val="000000"/>
          <w:sz w:val="28"/>
          <w:szCs w:val="28"/>
        </w:rPr>
        <w:t xml:space="preserve">от 24.09.2026 </w:t>
      </w:r>
      <w:r>
        <w:rPr>
          <w:rStyle w:val="927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927"/>
          <w:rFonts w:ascii="Times New Roman" w:hAnsi="Times New Roman"/>
          <w:color w:val="000000"/>
          <w:sz w:val="28"/>
          <w:szCs w:val="28"/>
        </w:rPr>
        <w:t xml:space="preserve">№ 873-па</w:t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</w:p>
    <w:p>
      <w:pPr>
        <w:pStyle w:val="928"/>
        <w:ind w:left="4820"/>
        <w:jc w:val="center"/>
        <w:rPr>
          <w:rStyle w:val="927"/>
          <w:rFonts w:ascii="Times New Roman" w:hAnsi="Times New Roman"/>
          <w:color w:val="000000"/>
          <w:sz w:val="28"/>
          <w:szCs w:val="28"/>
        </w:rPr>
      </w:pPr>
      <w:r>
        <w:rPr>
          <w:rStyle w:val="927"/>
          <w:rFonts w:ascii="Times New Roman" w:hAnsi="Times New Roman"/>
          <w:color w:val="000000"/>
          <w:sz w:val="28"/>
          <w:szCs w:val="28"/>
        </w:rPr>
        <w:t xml:space="preserve">                                                     </w:t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</w:p>
    <w:p>
      <w:pPr>
        <w:pStyle w:val="928"/>
        <w:ind w:left="4820"/>
        <w:jc w:val="center"/>
        <w:rPr>
          <w:rStyle w:val="927"/>
          <w:rFonts w:ascii="Times New Roman" w:hAnsi="Times New Roman"/>
          <w:color w:val="000000"/>
          <w:sz w:val="28"/>
          <w:szCs w:val="28"/>
        </w:rPr>
      </w:pPr>
      <w:r>
        <w:rPr>
          <w:rStyle w:val="927"/>
          <w:rFonts w:ascii="Times New Roman" w:hAnsi="Times New Roman"/>
          <w:color w:val="000000"/>
          <w:sz w:val="28"/>
          <w:szCs w:val="28"/>
        </w:rPr>
        <w:t xml:space="preserve">Приложение № 1</w:t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</w:p>
    <w:p>
      <w:pPr>
        <w:pStyle w:val="928"/>
        <w:ind w:left="4820"/>
        <w:rPr>
          <w:rStyle w:val="927"/>
          <w:rFonts w:ascii="Times New Roman" w:hAnsi="Times New Roman"/>
          <w:color w:val="000000"/>
          <w:sz w:val="28"/>
          <w:szCs w:val="28"/>
        </w:rPr>
      </w:pPr>
      <w:r>
        <w:rPr>
          <w:rStyle w:val="927"/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Style w:val="927"/>
          <w:rFonts w:ascii="Times New Roman" w:hAnsi="Times New Roman"/>
          <w:color w:val="000000"/>
          <w:sz w:val="28"/>
          <w:szCs w:val="28"/>
        </w:rPr>
        <w:t xml:space="preserve">Постановлению администрации Дальнереченского городского округа «Об утверждении Полож</w:t>
      </w:r>
      <w:r>
        <w:rPr>
          <w:rStyle w:val="927"/>
          <w:rFonts w:ascii="Times New Roman" w:hAnsi="Times New Roman"/>
          <w:color w:val="000000"/>
          <w:sz w:val="28"/>
          <w:szCs w:val="28"/>
        </w:rPr>
        <w:t xml:space="preserve">ения об оплате труда работников муниципальных образовательных учреждений дополнительного образования Дальнереченского городского округа»</w:t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</w:p>
    <w:p>
      <w:pPr>
        <w:pStyle w:val="928"/>
        <w:ind w:left="4820"/>
        <w:rPr>
          <w:rStyle w:val="927"/>
          <w:rFonts w:ascii="Times New Roman" w:hAnsi="Times New Roman"/>
          <w:color w:val="000000"/>
          <w:sz w:val="28"/>
          <w:szCs w:val="28"/>
        </w:rPr>
      </w:pPr>
      <w:r>
        <w:rPr>
          <w:rStyle w:val="927"/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Style w:val="927"/>
          <w:rFonts w:ascii="Times New Roman" w:hAnsi="Times New Roman"/>
          <w:color w:val="000000"/>
          <w:sz w:val="28"/>
          <w:szCs w:val="28"/>
        </w:rPr>
        <w:t xml:space="preserve">18.03.2025</w:t>
      </w:r>
      <w:r>
        <w:rPr>
          <w:rStyle w:val="927"/>
          <w:rFonts w:ascii="Times New Roman" w:hAnsi="Times New Roman"/>
          <w:color w:val="000000"/>
          <w:sz w:val="28"/>
          <w:szCs w:val="28"/>
        </w:rPr>
        <w:t xml:space="preserve"> № </w:t>
      </w:r>
      <w:r>
        <w:rPr>
          <w:rStyle w:val="927"/>
          <w:rFonts w:ascii="Times New Roman" w:hAnsi="Times New Roman"/>
          <w:color w:val="000000"/>
          <w:sz w:val="28"/>
          <w:szCs w:val="28"/>
        </w:rPr>
        <w:t xml:space="preserve">461-па</w:t>
      </w:r>
      <w:r>
        <w:rPr>
          <w:rStyle w:val="927"/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</w:p>
    <w:p>
      <w:pPr>
        <w:pStyle w:val="928"/>
        <w:ind w:left="4820"/>
        <w:rPr>
          <w:rStyle w:val="927"/>
          <w:rFonts w:ascii="Times New Roman" w:hAnsi="Times New Roman"/>
          <w:color w:val="000000"/>
          <w:sz w:val="28"/>
          <w:szCs w:val="28"/>
          <w:u w:val="single"/>
        </w:rPr>
      </w:pPr>
      <w:r>
        <w:rPr>
          <w:rStyle w:val="927"/>
          <w:rFonts w:ascii="Times New Roman" w:hAnsi="Times New Roman"/>
          <w:color w:val="000000"/>
          <w:sz w:val="28"/>
          <w:szCs w:val="28"/>
          <w:u w:val="single"/>
        </w:rPr>
      </w:r>
      <w:r>
        <w:rPr>
          <w:rStyle w:val="927"/>
          <w:rFonts w:ascii="Times New Roman" w:hAnsi="Times New Roman"/>
          <w:color w:val="000000"/>
          <w:sz w:val="28"/>
          <w:szCs w:val="28"/>
          <w:u w:val="single"/>
        </w:rPr>
      </w:r>
      <w:r>
        <w:rPr>
          <w:rStyle w:val="927"/>
          <w:rFonts w:ascii="Times New Roman" w:hAnsi="Times New Roman"/>
          <w:color w:val="000000"/>
          <w:sz w:val="28"/>
          <w:szCs w:val="28"/>
          <w:u w:val="single"/>
        </w:rPr>
      </w:r>
    </w:p>
    <w:p>
      <w:pPr>
        <w:pStyle w:val="905"/>
        <w:ind w:left="4956"/>
        <w:rPr>
          <w:color w:val="000000"/>
          <w:u w:val="single"/>
        </w:rPr>
      </w:pPr>
      <w:r>
        <w:rPr>
          <w:color w:val="000000"/>
          <w:u w:val="single"/>
        </w:rPr>
      </w:r>
      <w:r>
        <w:rPr>
          <w:color w:val="000000"/>
          <w:u w:val="single"/>
        </w:rPr>
      </w:r>
      <w:r>
        <w:rPr>
          <w:color w:val="000000"/>
          <w:u w:val="single"/>
        </w:rPr>
      </w:r>
    </w:p>
    <w:p>
      <w:pPr>
        <w:pStyle w:val="905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Минимальные размеры окладов работников образовательных учреждений дополнительного образования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05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05"/>
        <w:numPr>
          <w:ilvl w:val="0"/>
          <w:numId w:val="8"/>
        </w:numPr>
        <w:jc w:val="center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Минимальные размеры окладов работников учреждений по профессиональным квалификационным группам общеотраслевых должностей руководителей, специалистов и служащих, утвержденных Приказом Минздравсоцразвития России от 29.05.2008 № 247н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05"/>
        <w:ind w:left="720"/>
        <w:spacing w:line="276" w:lineRule="auto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7422"/>
        <w:gridCol w:w="214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621" w:type="dxa"/>
            <w:vAlign w:val="top"/>
            <w:textDirection w:val="lrTb"/>
            <w:noWrap w:val="false"/>
          </w:tcPr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Квалификационные группы/должности, отнесенные к квалификационным уровням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2160" w:type="dxa"/>
            <w:vAlign w:val="top"/>
            <w:textDirection w:val="lrTb"/>
            <w:noWrap w:val="false"/>
          </w:tcPr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Минимальный размер оклада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9781" w:type="dxa"/>
            <w:vAlign w:val="top"/>
            <w:textDirection w:val="lrTb"/>
            <w:noWrap w:val="false"/>
          </w:tcPr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Профессиональная квалификационная группа 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«Общеотраслевые должности служащих первого уровня»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621" w:type="dxa"/>
            <w:vAlign w:val="top"/>
            <w:textDirection w:val="lrTb"/>
            <w:noWrap w:val="false"/>
          </w:tcPr>
          <w:p>
            <w:pPr>
              <w:pStyle w:val="9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1 квалификационный уровень: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Делопроизводитель, кассир, секретарь, секретарь-машинистка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2160" w:type="dxa"/>
            <w:vAlign w:val="bottom"/>
            <w:textDirection w:val="lrTb"/>
            <w:noWrap w:val="false"/>
          </w:tcPr>
          <w:p>
            <w:pPr>
              <w:pStyle w:val="905"/>
              <w:jc w:val="center"/>
              <w:spacing w:line="36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6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615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9781" w:type="dxa"/>
            <w:vAlign w:val="top"/>
            <w:textDirection w:val="lrTb"/>
            <w:noWrap w:val="false"/>
          </w:tcPr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Профессиональная квалификационная группа 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jc w:val="center"/>
              <w:spacing w:line="36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«Общеотраслевые должности служащих третьего уровня»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621" w:type="dxa"/>
            <w:vAlign w:val="top"/>
            <w:textDirection w:val="lrTb"/>
            <w:noWrap w:val="false"/>
          </w:tcPr>
          <w:p>
            <w:pPr>
              <w:pStyle w:val="9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1 квалификационный уровень: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Специалист в сфере закупок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2160" w:type="dxa"/>
            <w:vAlign w:val="bottom"/>
            <w:textDirection w:val="lrTb"/>
            <w:noWrap w:val="false"/>
          </w:tcPr>
          <w:p>
            <w:pPr>
              <w:pStyle w:val="905"/>
              <w:jc w:val="center"/>
              <w:spacing w:line="36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1</w:t>
            </w:r>
            <w:r>
              <w:rPr>
                <w:color w:val="000000"/>
                <w:sz w:val="26"/>
                <w:szCs w:val="26"/>
              </w:rPr>
              <w:t xml:space="preserve">1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956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</w:tbl>
    <w:p>
      <w:pPr>
        <w:pStyle w:val="905"/>
        <w:jc w:val="center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05"/>
        <w:numPr>
          <w:ilvl w:val="0"/>
          <w:numId w:val="8"/>
        </w:numPr>
        <w:jc w:val="center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Минимальные размеры окладов работников учреждений по профессиональным квалификационным группам общеотраслевых должностей руководителей, специалистов и служащих, утвержденных </w:t>
      </w:r>
      <w:r>
        <w:rPr>
          <w:color w:val="000000"/>
          <w:sz w:val="28"/>
          <w:szCs w:val="28"/>
        </w:rPr>
        <w:t xml:space="preserve">Постановлением Минтруда России </w:t>
      </w:r>
      <w:r>
        <w:rPr>
          <w:color w:val="000000"/>
          <w:sz w:val="28"/>
          <w:szCs w:val="28"/>
        </w:rPr>
        <w:t xml:space="preserve">от 2</w:t>
      </w:r>
      <w:r>
        <w:rPr>
          <w:color w:val="000000"/>
          <w:sz w:val="28"/>
          <w:szCs w:val="28"/>
        </w:rPr>
        <w:t xml:space="preserve">1</w:t>
      </w:r>
      <w:r>
        <w:rPr>
          <w:color w:val="000000"/>
          <w:sz w:val="28"/>
          <w:szCs w:val="28"/>
        </w:rPr>
        <w:t xml:space="preserve">.0</w:t>
      </w:r>
      <w:r>
        <w:rPr>
          <w:color w:val="000000"/>
          <w:sz w:val="28"/>
          <w:szCs w:val="28"/>
        </w:rPr>
        <w:t xml:space="preserve">8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  <w:t xml:space="preserve">1998</w:t>
      </w:r>
      <w:r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 xml:space="preserve">37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05"/>
        <w:ind w:left="720"/>
        <w:spacing w:line="276" w:lineRule="auto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7422"/>
        <w:gridCol w:w="214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621" w:type="dxa"/>
            <w:vAlign w:val="top"/>
            <w:textDirection w:val="lrTb"/>
            <w:noWrap w:val="false"/>
          </w:tcPr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Квалификационные группы/должности, отнесенные к квалификационным уровням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2160" w:type="dxa"/>
            <w:vAlign w:val="top"/>
            <w:textDirection w:val="lrTb"/>
            <w:noWrap w:val="false"/>
          </w:tcPr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Минимальный размер оклада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9781" w:type="dxa"/>
            <w:vAlign w:val="top"/>
            <w:textDirection w:val="lrTb"/>
            <w:noWrap w:val="false"/>
          </w:tcPr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Профессиональная квалификационная группа 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jc w:val="center"/>
              <w:spacing w:line="36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«Общеотраслевые должности служащих третьего уровня»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621" w:type="dxa"/>
            <w:vAlign w:val="top"/>
            <w:textDirection w:val="lrTb"/>
            <w:noWrap w:val="false"/>
          </w:tcPr>
          <w:p>
            <w:pPr>
              <w:pStyle w:val="9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1 квалификационный уровень: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Специалист по управлению проектами муниципального опорного центра (МОЦ)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Администратор центра тестирования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2160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line="36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jc w:val="center"/>
              <w:spacing w:line="36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29</w:t>
            </w:r>
            <w:r>
              <w:rPr>
                <w:color w:val="000000"/>
                <w:sz w:val="26"/>
                <w:szCs w:val="26"/>
              </w:rPr>
              <w:t xml:space="preserve"> </w:t>
            </w:r>
            <w:r>
              <w:rPr>
                <w:color w:val="000000"/>
                <w:sz w:val="26"/>
                <w:szCs w:val="26"/>
              </w:rPr>
              <w:t xml:space="preserve">922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jc w:val="center"/>
              <w:spacing w:line="36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</w:tbl>
    <w:p>
      <w:pPr>
        <w:pStyle w:val="905"/>
        <w:jc w:val="center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05"/>
        <w:ind w:firstLine="709"/>
        <w:jc w:val="center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</w:t>
      </w:r>
      <w:r>
        <w:rPr>
          <w:color w:val="000000"/>
          <w:sz w:val="28"/>
          <w:szCs w:val="28"/>
        </w:rPr>
        <w:t xml:space="preserve">. Минимальные </w:t>
      </w:r>
      <w:r>
        <w:rPr>
          <w:color w:val="000000"/>
          <w:sz w:val="28"/>
          <w:szCs w:val="28"/>
        </w:rPr>
        <w:t xml:space="preserve">размеры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окладов работников учреждений по профессиона</w:t>
      </w:r>
      <w:r>
        <w:rPr>
          <w:color w:val="000000"/>
          <w:sz w:val="28"/>
          <w:szCs w:val="28"/>
        </w:rPr>
        <w:t xml:space="preserve">льным квалификационным группам </w:t>
      </w:r>
      <w:r>
        <w:rPr>
          <w:color w:val="000000"/>
          <w:sz w:val="28"/>
          <w:szCs w:val="28"/>
        </w:rPr>
        <w:t xml:space="preserve">должностей медицинских и фармацевтических работников, утвержденных Приказом Минздравсоцразвития России от 06.08.2007 № 526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7437"/>
        <w:gridCol w:w="21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905" w:type="dxa"/>
            <w:vAlign w:val="top"/>
            <w:textDirection w:val="lrTb"/>
            <w:noWrap w:val="false"/>
          </w:tcPr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Квалификационные группы/должности, отнесенные к квалификационным уровням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2160" w:type="dxa"/>
            <w:vAlign w:val="top"/>
            <w:textDirection w:val="lrTb"/>
            <w:noWrap w:val="false"/>
          </w:tcPr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Минимальный размер оклада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10065" w:type="dxa"/>
            <w:vAlign w:val="top"/>
            <w:textDirection w:val="lrTb"/>
            <w:noWrap w:val="false"/>
          </w:tcPr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Профессиональная квалификационная группа «Средний медицинский и фармацевтический персонал»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905" w:type="dxa"/>
            <w:vAlign w:val="top"/>
            <w:textDirection w:val="lrTb"/>
            <w:noWrap w:val="false"/>
          </w:tcPr>
          <w:p>
            <w:pPr>
              <w:pStyle w:val="90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 квалификационный уровень: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5"/>
              <w:rPr>
                <w:sz w:val="26"/>
                <w:szCs w:val="20"/>
              </w:rPr>
            </w:pPr>
            <w:r>
              <w:rPr>
                <w:sz w:val="26"/>
                <w:szCs w:val="20"/>
              </w:rPr>
              <w:t xml:space="preserve">Медицинская сестра</w:t>
            </w:r>
            <w:r>
              <w:rPr>
                <w:sz w:val="26"/>
                <w:szCs w:val="20"/>
              </w:rPr>
            </w:r>
            <w:r>
              <w:rPr>
                <w:sz w:val="26"/>
                <w:szCs w:val="20"/>
              </w:rPr>
            </w:r>
          </w:p>
        </w:tc>
        <w:tc>
          <w:tcPr>
            <w:tcW w:w="2160" w:type="dxa"/>
            <w:vAlign w:val="top"/>
            <w:textDirection w:val="lrTb"/>
            <w:noWrap w:val="false"/>
          </w:tcPr>
          <w:p>
            <w:pPr>
              <w:pStyle w:val="905"/>
              <w:jc w:val="center"/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Style w:val="905"/>
              <w:jc w:val="center"/>
              <w:spacing w:line="36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9 </w:t>
            </w:r>
            <w:r>
              <w:rPr>
                <w:color w:val="000000"/>
                <w:sz w:val="26"/>
                <w:szCs w:val="26"/>
              </w:rPr>
              <w:t xml:space="preserve">136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</w:tbl>
    <w:p>
      <w:pPr>
        <w:pStyle w:val="905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05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</w:t>
      </w:r>
      <w:r>
        <w:rPr>
          <w:color w:val="000000"/>
          <w:sz w:val="28"/>
          <w:szCs w:val="28"/>
        </w:rPr>
        <w:t xml:space="preserve">. Минимальные размеры окладов работников учреждений по профессиона</w:t>
      </w:r>
      <w:r>
        <w:rPr>
          <w:color w:val="000000"/>
          <w:sz w:val="28"/>
          <w:szCs w:val="28"/>
        </w:rPr>
        <w:t xml:space="preserve">льным квалификационным группам </w:t>
      </w:r>
      <w:r>
        <w:rPr>
          <w:color w:val="000000"/>
          <w:sz w:val="28"/>
          <w:szCs w:val="28"/>
        </w:rPr>
        <w:t xml:space="preserve">должностей работников обр</w:t>
      </w:r>
      <w:r>
        <w:rPr>
          <w:color w:val="000000"/>
          <w:sz w:val="28"/>
          <w:szCs w:val="28"/>
        </w:rPr>
        <w:t xml:space="preserve">азования, утвержденных Приказом </w:t>
      </w:r>
      <w:r>
        <w:rPr>
          <w:color w:val="000000"/>
          <w:sz w:val="28"/>
          <w:szCs w:val="28"/>
        </w:rPr>
        <w:t xml:space="preserve">Минздравсоцразвития России от 05.05.2008 № 216н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7437"/>
        <w:gridCol w:w="21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905" w:type="dxa"/>
            <w:vAlign w:val="top"/>
            <w:textDirection w:val="lrTb"/>
            <w:noWrap w:val="false"/>
          </w:tcPr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Квалификационные группы/должности, отнесенные к квалификационным уровням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2160" w:type="dxa"/>
            <w:vAlign w:val="top"/>
            <w:textDirection w:val="lrTb"/>
            <w:noWrap w:val="false"/>
          </w:tcPr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Минимальный размер оклада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10065" w:type="dxa"/>
            <w:vAlign w:val="top"/>
            <w:textDirection w:val="lrTb"/>
            <w:noWrap w:val="false"/>
          </w:tcPr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Профессиональная квалификационная группа должностей 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педагогических работников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905" w:type="dxa"/>
            <w:vAlign w:val="top"/>
            <w:textDirection w:val="lrTb"/>
            <w:noWrap w:val="false"/>
          </w:tcPr>
          <w:p>
            <w:pPr>
              <w:pStyle w:val="90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 квалификационный уровень: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5"/>
              <w:rPr>
                <w:sz w:val="26"/>
                <w:szCs w:val="20"/>
              </w:rPr>
            </w:pPr>
            <w:r>
              <w:rPr>
                <w:sz w:val="26"/>
                <w:szCs w:val="20"/>
              </w:rPr>
              <w:t xml:space="preserve">Тренер-преподаватель</w:t>
            </w:r>
            <w:r>
              <w:rPr>
                <w:sz w:val="26"/>
                <w:szCs w:val="20"/>
              </w:rPr>
            </w:r>
            <w:r>
              <w:rPr>
                <w:sz w:val="26"/>
                <w:szCs w:val="20"/>
              </w:rPr>
            </w:r>
          </w:p>
        </w:tc>
        <w:tc>
          <w:tcPr>
            <w:tcW w:w="2160" w:type="dxa"/>
            <w:vAlign w:val="bottom"/>
            <w:textDirection w:val="lrTb"/>
            <w:noWrap w:val="false"/>
          </w:tcPr>
          <w:p>
            <w:pPr>
              <w:pStyle w:val="905"/>
              <w:jc w:val="center"/>
              <w:spacing w:line="36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27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193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</w:tbl>
    <w:p>
      <w:pPr>
        <w:pStyle w:val="905"/>
        <w:jc w:val="center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05"/>
        <w:jc w:val="center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</w:t>
      </w:r>
      <w:r>
        <w:rPr>
          <w:color w:val="000000"/>
          <w:sz w:val="28"/>
          <w:szCs w:val="28"/>
        </w:rPr>
        <w:t xml:space="preserve">. Минимальные размеры окладов работников учреждений по профессиона</w:t>
      </w:r>
      <w:r>
        <w:rPr>
          <w:color w:val="000000"/>
          <w:sz w:val="28"/>
          <w:szCs w:val="28"/>
        </w:rPr>
        <w:t xml:space="preserve">льным квалификационным группам </w:t>
      </w:r>
      <w:r>
        <w:rPr>
          <w:color w:val="000000"/>
          <w:sz w:val="28"/>
          <w:szCs w:val="28"/>
        </w:rPr>
        <w:t xml:space="preserve">общеотраслевых профессий рабочих, утвержденных Приказом Минздравсоцразвития России от 29.05.2008 № 248н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tbl>
      <w:tblPr>
        <w:tblW w:w="960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7621"/>
        <w:gridCol w:w="198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621" w:type="dxa"/>
            <w:vAlign w:val="top"/>
            <w:textDirection w:val="lrTb"/>
            <w:noWrap w:val="false"/>
          </w:tcPr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Квалификационные группы/должности, отнесенные к квалификационным уровням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985" w:type="dxa"/>
            <w:vAlign w:val="top"/>
            <w:textDirection w:val="lrTb"/>
            <w:noWrap w:val="false"/>
          </w:tcPr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Минимальный размер оклада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9606" w:type="dxa"/>
            <w:vAlign w:val="top"/>
            <w:textDirection w:val="lrTb"/>
            <w:noWrap w:val="false"/>
          </w:tcPr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Профессиональная квалификационная группа 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«Общеотраслевые профессии рабочих первого уровня»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621" w:type="dxa"/>
            <w:vAlign w:val="top"/>
            <w:textDirection w:val="lrTb"/>
            <w:noWrap w:val="false"/>
          </w:tcPr>
          <w:p>
            <w:pPr>
              <w:pStyle w:val="9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1 квалификационный уровень: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Наименования профессий рабочих, по которым предусмотрено присвоение 1, 2 и 3 квалификационных разрядов в соответствии с Единым тарифно-квалификационным справочником работ и профессий рабочих;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гардеробщик, сторож (вахтер),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5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дворник, уборщик служебных помещений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985" w:type="dxa"/>
            <w:vAlign w:val="top"/>
            <w:textDirection w:val="lrTb"/>
            <w:noWrap w:val="false"/>
          </w:tcPr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5</w:t>
            </w:r>
            <w:r>
              <w:rPr>
                <w:color w:val="000000"/>
                <w:sz w:val="26"/>
                <w:szCs w:val="26"/>
              </w:rPr>
              <w:t xml:space="preserve"> </w:t>
            </w:r>
            <w:r>
              <w:rPr>
                <w:color w:val="000000"/>
                <w:sz w:val="26"/>
                <w:szCs w:val="26"/>
              </w:rPr>
              <w:t xml:space="preserve">458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5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754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9606" w:type="dxa"/>
            <w:vAlign w:val="top"/>
            <w:textDirection w:val="lrTb"/>
            <w:noWrap w:val="false"/>
          </w:tcPr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Профессиональная квалификационная группа 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«Общеотраслевые профессии рабочих второго уровня»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621" w:type="dxa"/>
            <w:vAlign w:val="top"/>
            <w:textDirection w:val="lrTb"/>
            <w:noWrap w:val="false"/>
          </w:tcPr>
          <w:p>
            <w:pPr>
              <w:pStyle w:val="905"/>
              <w:rPr>
                <w:sz w:val="26"/>
                <w:szCs w:val="20"/>
              </w:rPr>
            </w:pPr>
            <w:r>
              <w:rPr>
                <w:sz w:val="26"/>
                <w:szCs w:val="20"/>
              </w:rPr>
              <w:t xml:space="preserve">1 квалификационный уровень:</w:t>
            </w:r>
            <w:r>
              <w:rPr>
                <w:sz w:val="26"/>
                <w:szCs w:val="20"/>
              </w:rPr>
            </w:r>
            <w:r>
              <w:rPr>
                <w:sz w:val="26"/>
                <w:szCs w:val="20"/>
              </w:rPr>
            </w:r>
          </w:p>
          <w:p>
            <w:pPr>
              <w:pStyle w:val="905"/>
              <w:jc w:val="both"/>
              <w:rPr>
                <w:sz w:val="26"/>
                <w:szCs w:val="20"/>
              </w:rPr>
            </w:pPr>
            <w:r>
              <w:rPr>
                <w:sz w:val="26"/>
                <w:szCs w:val="20"/>
              </w:rPr>
              <w:t xml:space="preserve">Наименования профессий рабочих, по которым предусмотрено присвоение 4 и 5 квалификационных разрядов в соответствии с Единым тарифно-квалификационным справоч</w:t>
            </w:r>
            <w:r>
              <w:rPr>
                <w:sz w:val="26"/>
                <w:szCs w:val="20"/>
              </w:rPr>
              <w:t xml:space="preserve">ником работ и профессий рабочих, рабочий поля. Рабочий по обслуживанию и ремонту зданий</w:t>
            </w:r>
            <w:r>
              <w:rPr>
                <w:sz w:val="26"/>
                <w:szCs w:val="20"/>
              </w:rPr>
            </w:r>
            <w:r>
              <w:rPr>
                <w:sz w:val="26"/>
                <w:szCs w:val="20"/>
              </w:rPr>
            </w:r>
          </w:p>
        </w:tc>
        <w:tc>
          <w:tcPr>
            <w:tcW w:w="1985" w:type="dxa"/>
            <w:vAlign w:val="bottom"/>
            <w:textDirection w:val="lrTb"/>
            <w:noWrap w:val="false"/>
          </w:tcPr>
          <w:p>
            <w:pPr>
              <w:pStyle w:val="905"/>
              <w:jc w:val="center"/>
              <w:spacing w:line="36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jc w:val="center"/>
              <w:spacing w:line="36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6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615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jc w:val="center"/>
              <w:spacing w:line="36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621" w:type="dxa"/>
            <w:vAlign w:val="top"/>
            <w:textDirection w:val="lrTb"/>
            <w:noWrap w:val="false"/>
          </w:tcPr>
          <w:p>
            <w:pPr>
              <w:pStyle w:val="905"/>
              <w:rPr>
                <w:sz w:val="26"/>
                <w:szCs w:val="20"/>
              </w:rPr>
            </w:pPr>
            <w:r>
              <w:rPr>
                <w:sz w:val="26"/>
                <w:szCs w:val="20"/>
              </w:rPr>
              <w:t xml:space="preserve">2 квалификационный уровень:</w:t>
            </w:r>
            <w:r>
              <w:rPr>
                <w:sz w:val="26"/>
                <w:szCs w:val="20"/>
              </w:rPr>
            </w:r>
            <w:r>
              <w:rPr>
                <w:sz w:val="26"/>
                <w:szCs w:val="20"/>
              </w:rPr>
            </w:r>
          </w:p>
          <w:p>
            <w:pPr>
              <w:pStyle w:val="905"/>
              <w:jc w:val="both"/>
              <w:rPr>
                <w:sz w:val="26"/>
                <w:szCs w:val="20"/>
              </w:rPr>
            </w:pPr>
            <w:r>
              <w:rPr>
                <w:sz w:val="26"/>
                <w:szCs w:val="20"/>
              </w:rPr>
              <w:t xml:space="preserve">Наименования профессий рабочих, по которым предусмотрено присвоение 6 и 7 квалификационных разрядов в соответствии с Единым тарифно-квалификационным справочником работ и профессий рабочих </w:t>
            </w:r>
            <w:r>
              <w:rPr>
                <w:sz w:val="26"/>
                <w:szCs w:val="20"/>
              </w:rPr>
              <w:t xml:space="preserve">(электрик)</w:t>
            </w:r>
            <w:r>
              <w:rPr>
                <w:sz w:val="26"/>
                <w:szCs w:val="20"/>
              </w:rPr>
            </w:r>
            <w:r>
              <w:rPr>
                <w:sz w:val="26"/>
                <w:szCs w:val="20"/>
              </w:rPr>
            </w:r>
          </w:p>
        </w:tc>
        <w:tc>
          <w:tcPr>
            <w:tcW w:w="1985" w:type="dxa"/>
            <w:vAlign w:val="top"/>
            <w:textDirection w:val="lrTb"/>
            <w:noWrap w:val="false"/>
          </w:tcPr>
          <w:p>
            <w:pPr>
              <w:pStyle w:val="905"/>
              <w:jc w:val="center"/>
              <w:spacing w:line="36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jc w:val="center"/>
              <w:spacing w:line="36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6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838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621" w:type="dxa"/>
            <w:vAlign w:val="top"/>
            <w:textDirection w:val="lrTb"/>
            <w:noWrap w:val="false"/>
          </w:tcPr>
          <w:p>
            <w:pPr>
              <w:pStyle w:val="905"/>
              <w:rPr>
                <w:sz w:val="26"/>
                <w:szCs w:val="20"/>
              </w:rPr>
            </w:pPr>
            <w:r>
              <w:rPr>
                <w:sz w:val="26"/>
                <w:szCs w:val="20"/>
              </w:rPr>
              <w:t xml:space="preserve">3 квалификационный уровень:</w:t>
            </w:r>
            <w:r>
              <w:rPr>
                <w:sz w:val="26"/>
                <w:szCs w:val="20"/>
              </w:rPr>
            </w:r>
            <w:r>
              <w:rPr>
                <w:sz w:val="26"/>
                <w:szCs w:val="20"/>
              </w:rPr>
            </w:r>
          </w:p>
          <w:p>
            <w:pPr>
              <w:pStyle w:val="905"/>
              <w:jc w:val="both"/>
              <w:rPr>
                <w:sz w:val="26"/>
                <w:szCs w:val="20"/>
              </w:rPr>
            </w:pPr>
            <w:r>
              <w:rPr>
                <w:sz w:val="26"/>
                <w:szCs w:val="20"/>
              </w:rPr>
              <w:t xml:space="preserve">Наименования профессий рабочих, по которым предусмотрено присвоение 8 квалификационного разряда в соответствии с Единым тарифно-квалификационным справочником работ и профессий рабочих </w:t>
            </w:r>
            <w:r>
              <w:rPr>
                <w:sz w:val="26"/>
                <w:szCs w:val="20"/>
              </w:rPr>
            </w:r>
            <w:r>
              <w:rPr>
                <w:sz w:val="26"/>
                <w:szCs w:val="20"/>
              </w:rPr>
            </w:r>
          </w:p>
        </w:tc>
        <w:tc>
          <w:tcPr>
            <w:tcW w:w="1985" w:type="dxa"/>
            <w:vAlign w:val="top"/>
            <w:textDirection w:val="lrTb"/>
            <w:noWrap w:val="false"/>
          </w:tcPr>
          <w:p>
            <w:pPr>
              <w:pStyle w:val="905"/>
              <w:jc w:val="center"/>
              <w:spacing w:line="36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jc w:val="center"/>
              <w:spacing w:line="36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10 </w:t>
            </w:r>
            <w:r>
              <w:rPr>
                <w:color w:val="000000"/>
                <w:sz w:val="26"/>
                <w:szCs w:val="26"/>
              </w:rPr>
              <w:t xml:space="preserve">048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621" w:type="dxa"/>
            <w:vAlign w:val="top"/>
            <w:textDirection w:val="lrTb"/>
            <w:noWrap w:val="false"/>
          </w:tcPr>
          <w:p>
            <w:pPr>
              <w:pStyle w:val="905"/>
              <w:rPr>
                <w:sz w:val="26"/>
                <w:szCs w:val="20"/>
              </w:rPr>
            </w:pPr>
            <w:r>
              <w:rPr>
                <w:sz w:val="26"/>
                <w:szCs w:val="20"/>
              </w:rPr>
              <w:t xml:space="preserve">4 квалификационный уровень:</w:t>
            </w:r>
            <w:r>
              <w:rPr>
                <w:sz w:val="26"/>
                <w:szCs w:val="20"/>
              </w:rPr>
            </w:r>
            <w:r>
              <w:rPr>
                <w:sz w:val="26"/>
                <w:szCs w:val="20"/>
              </w:rPr>
            </w:r>
          </w:p>
          <w:p>
            <w:pPr>
              <w:pStyle w:val="905"/>
              <w:jc w:val="both"/>
              <w:rPr>
                <w:sz w:val="26"/>
                <w:szCs w:val="20"/>
              </w:rPr>
            </w:pPr>
            <w:r>
              <w:rPr>
                <w:sz w:val="26"/>
                <w:szCs w:val="20"/>
              </w:rPr>
              <w:t xml:space="preserve">Наименования профессий рабочих, предусмотренных </w:t>
              <w:br w:type="textWrapping" w:clear="all"/>
              <w:t xml:space="preserve">1–3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ответственные) работы, водитель</w:t>
            </w:r>
            <w:r>
              <w:rPr>
                <w:sz w:val="26"/>
                <w:szCs w:val="20"/>
              </w:rPr>
            </w:r>
            <w:r>
              <w:rPr>
                <w:sz w:val="26"/>
                <w:szCs w:val="20"/>
              </w:rPr>
            </w:r>
          </w:p>
        </w:tc>
        <w:tc>
          <w:tcPr>
            <w:tcW w:w="1985" w:type="dxa"/>
            <w:vAlign w:val="top"/>
            <w:textDirection w:val="lrTb"/>
            <w:noWrap w:val="false"/>
          </w:tcPr>
          <w:p>
            <w:pPr>
              <w:pStyle w:val="905"/>
              <w:jc w:val="center"/>
              <w:spacing w:line="36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  <w:p>
            <w:pPr>
              <w:pStyle w:val="905"/>
              <w:jc w:val="center"/>
              <w:spacing w:line="36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1</w:t>
            </w:r>
            <w:r>
              <w:rPr>
                <w:color w:val="000000"/>
                <w:sz w:val="26"/>
                <w:szCs w:val="26"/>
              </w:rPr>
              <w:t xml:space="preserve">7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866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</w:tbl>
    <w:p>
      <w:pPr>
        <w:pStyle w:val="905"/>
        <w:ind w:left="4680"/>
        <w:shd w:val="clear" w:color="auto" w:fill="ffffff"/>
        <w:widowControl w:val="off"/>
        <w:rPr>
          <w:sz w:val="26"/>
          <w:szCs w:val="20"/>
        </w:rPr>
      </w:pPr>
      <w:r>
        <w:rPr>
          <w:sz w:val="26"/>
          <w:szCs w:val="20"/>
        </w:rPr>
      </w:r>
      <w:r>
        <w:rPr>
          <w:sz w:val="26"/>
          <w:szCs w:val="20"/>
        </w:rPr>
      </w:r>
      <w:r>
        <w:rPr>
          <w:sz w:val="26"/>
          <w:szCs w:val="20"/>
        </w:rPr>
      </w:r>
    </w:p>
    <w:p>
      <w:pPr>
        <w:pStyle w:val="905"/>
        <w:ind w:left="4680"/>
        <w:shd w:val="clear" w:color="auto" w:fill="ffffff"/>
        <w:widowControl w:val="off"/>
        <w:rPr>
          <w:caps/>
          <w:sz w:val="26"/>
          <w:szCs w:val="26"/>
        </w:rPr>
      </w:pPr>
      <w:r>
        <w:rPr>
          <w:caps/>
          <w:sz w:val="26"/>
          <w:szCs w:val="26"/>
        </w:rPr>
        <w:t xml:space="preserve">            </w:t>
      </w:r>
      <w:r>
        <w:rPr>
          <w:caps/>
          <w:sz w:val="26"/>
          <w:szCs w:val="26"/>
        </w:rPr>
      </w:r>
      <w:r>
        <w:rPr>
          <w:caps/>
          <w:sz w:val="26"/>
          <w:szCs w:val="26"/>
        </w:rPr>
      </w:r>
    </w:p>
    <w:p>
      <w:pPr>
        <w:pStyle w:val="928"/>
        <w:tabs>
          <w:tab w:val="left" w:pos="4678" w:leader="none"/>
          <w:tab w:val="left" w:pos="5387" w:leader="none"/>
          <w:tab w:val="left" w:pos="5529" w:leader="none"/>
        </w:tabs>
        <w:rPr>
          <w:rStyle w:val="927"/>
          <w:rFonts w:ascii="Times New Roman" w:hAnsi="Times New Roman"/>
          <w:color w:val="000000"/>
          <w:sz w:val="28"/>
          <w:szCs w:val="28"/>
        </w:rPr>
      </w:pPr>
      <w:r>
        <w:rPr>
          <w:rStyle w:val="927"/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</w:t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  <w:r>
        <w:rPr>
          <w:rStyle w:val="927"/>
          <w:rFonts w:ascii="Times New Roman" w:hAnsi="Times New Roman"/>
          <w:color w:val="000000"/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erReference w:type="even" r:id="rId12"/>
      <w:footnotePr/>
      <w:endnotePr/>
      <w:type w:val="nextPage"/>
      <w:pgSz w:w="11906" w:h="16838" w:orient="portrait"/>
      <w:pgMar w:top="1134" w:right="851" w:bottom="1134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Courier New">
    <w:panose1 w:val="020703090202050204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Wingdings">
    <w:panose1 w:val="0500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4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4"/>
      <w:rPr>
        <w:rStyle w:val="915"/>
      </w:rPr>
      <w:framePr w:wrap="around" w:vAnchor="text" w:hAnchor="margin" w:xAlign="right" w:y="1"/>
    </w:pPr>
    <w:r>
      <w:rPr>
        <w:rStyle w:val="915"/>
      </w:rPr>
      <w:fldChar w:fldCharType="begin"/>
    </w:r>
    <w:r>
      <w:rPr>
        <w:rStyle w:val="915"/>
      </w:rPr>
      <w:instrText xml:space="preserve">PAGE  </w:instrText>
    </w:r>
    <w:r>
      <w:rPr>
        <w:rStyle w:val="915"/>
      </w:rPr>
      <w:fldChar w:fldCharType="end"/>
    </w:r>
    <w:r>
      <w:rPr>
        <w:rStyle w:val="915"/>
      </w:rPr>
    </w:r>
    <w:r>
      <w:rPr>
        <w:rStyle w:val="915"/>
      </w:rPr>
    </w:r>
  </w:p>
  <w:p>
    <w:pPr>
      <w:pStyle w:val="914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4"/>
      <w:ind w:right="36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4"/>
      <w:rPr>
        <w:rStyle w:val="915"/>
      </w:rPr>
      <w:framePr w:wrap="around" w:vAnchor="text" w:hAnchor="margin" w:xAlign="center" w:y="1"/>
    </w:pPr>
    <w:r>
      <w:rPr>
        <w:rStyle w:val="915"/>
      </w:rPr>
      <w:fldChar w:fldCharType="begin"/>
    </w:r>
    <w:r>
      <w:rPr>
        <w:rStyle w:val="915"/>
      </w:rPr>
      <w:instrText xml:space="preserve">PAGE  </w:instrText>
    </w:r>
    <w:r>
      <w:rPr>
        <w:rStyle w:val="915"/>
      </w:rPr>
      <w:fldChar w:fldCharType="end"/>
    </w:r>
    <w:r>
      <w:rPr>
        <w:rStyle w:val="915"/>
      </w:rPr>
    </w:r>
    <w:r>
      <w:rPr>
        <w:rStyle w:val="915"/>
      </w:rPr>
    </w:r>
  </w:p>
  <w:p>
    <w:pPr>
      <w:pStyle w:val="924"/>
      <w:ind w:right="36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55" w:hanging="1155"/>
        <w:tabs>
          <w:tab w:val="num" w:pos="1155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1863" w:hanging="1155"/>
        <w:tabs>
          <w:tab w:val="num" w:pos="1863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571" w:hanging="1155"/>
        <w:tabs>
          <w:tab w:val="num" w:pos="2571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79" w:hanging="1155"/>
        <w:tabs>
          <w:tab w:val="num" w:pos="3279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87" w:hanging="1155"/>
        <w:tabs>
          <w:tab w:val="num" w:pos="3987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  <w:tabs>
          <w:tab w:val="num" w:pos="49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688" w:hanging="1440"/>
        <w:tabs>
          <w:tab w:val="num" w:pos="5688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  <w:tabs>
          <w:tab w:val="num" w:pos="6756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64" w:hanging="1800"/>
        <w:tabs>
          <w:tab w:val="num" w:pos="7464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3" w:hanging="360"/>
        <w:tabs>
          <w:tab w:val="num" w:pos="1073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793" w:hanging="360"/>
        <w:tabs>
          <w:tab w:val="num" w:pos="1793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13" w:hanging="180"/>
        <w:tabs>
          <w:tab w:val="num" w:pos="2513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33" w:hanging="360"/>
        <w:tabs>
          <w:tab w:val="num" w:pos="3233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53" w:hanging="360"/>
        <w:tabs>
          <w:tab w:val="num" w:pos="3953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73" w:hanging="180"/>
        <w:tabs>
          <w:tab w:val="num" w:pos="4673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93" w:hanging="360"/>
        <w:tabs>
          <w:tab w:val="num" w:pos="5393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13" w:hanging="360"/>
        <w:tabs>
          <w:tab w:val="num" w:pos="6113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33" w:hanging="180"/>
        <w:tabs>
          <w:tab w:val="num" w:pos="6833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29"/>
      <w:numFmt w:val="decimal"/>
      <w:isLgl w:val="false"/>
      <w:suff w:val="tab"/>
      <w:lvlText w:val="3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1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4"/>
      <w:numFmt w:val="decimal"/>
      <w:isLgl w:val="false"/>
      <w:suff w:val="tab"/>
      <w:lvlText w:val="3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7">
    <w:name w:val="Heading 1"/>
    <w:basedOn w:val="905"/>
    <w:next w:val="905"/>
    <w:link w:val="72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28">
    <w:name w:val="Heading 1 Char"/>
    <w:link w:val="727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29">
    <w:name w:val="Heading 2"/>
    <w:basedOn w:val="905"/>
    <w:next w:val="905"/>
    <w:link w:val="730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30">
    <w:name w:val="Heading 2 Char"/>
    <w:link w:val="729"/>
    <w:uiPriority w:val="9"/>
    <w:rPr>
      <w:rFonts w:ascii="Liberation Sans" w:hAnsi="Liberation Sans" w:eastAsia="Liberation Sans" w:cs="Liberation Sans"/>
      <w:sz w:val="34"/>
    </w:rPr>
  </w:style>
  <w:style w:type="paragraph" w:styleId="731">
    <w:name w:val="Heading 3"/>
    <w:basedOn w:val="905"/>
    <w:next w:val="905"/>
    <w:link w:val="732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32">
    <w:name w:val="Heading 3 Char"/>
    <w:link w:val="731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33">
    <w:name w:val="Heading 4"/>
    <w:basedOn w:val="905"/>
    <w:next w:val="905"/>
    <w:link w:val="73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34">
    <w:name w:val="Heading 4 Char"/>
    <w:link w:val="73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35">
    <w:name w:val="Heading 5"/>
    <w:basedOn w:val="905"/>
    <w:next w:val="905"/>
    <w:link w:val="73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36">
    <w:name w:val="Heading 5 Char"/>
    <w:link w:val="73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37">
    <w:name w:val="Heading 6"/>
    <w:basedOn w:val="905"/>
    <w:next w:val="905"/>
    <w:link w:val="73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8">
    <w:name w:val="Heading 6 Char"/>
    <w:link w:val="73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39">
    <w:name w:val="Heading 7"/>
    <w:basedOn w:val="905"/>
    <w:next w:val="905"/>
    <w:link w:val="74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40">
    <w:name w:val="Heading 7 Char"/>
    <w:link w:val="73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41">
    <w:name w:val="Heading 8"/>
    <w:basedOn w:val="905"/>
    <w:next w:val="905"/>
    <w:link w:val="74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42">
    <w:name w:val="Heading 8 Char"/>
    <w:link w:val="74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43">
    <w:name w:val="Heading 9"/>
    <w:basedOn w:val="905"/>
    <w:next w:val="905"/>
    <w:link w:val="74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44">
    <w:name w:val="Heading 9 Char"/>
    <w:link w:val="74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45">
    <w:name w:val="List Paragraph"/>
    <w:basedOn w:val="905"/>
    <w:uiPriority w:val="34"/>
    <w:qFormat/>
    <w:pPr>
      <w:contextualSpacing/>
      <w:ind w:left="720"/>
    </w:pPr>
  </w:style>
  <w:style w:type="paragraph" w:styleId="746">
    <w:name w:val="No Spacing"/>
    <w:uiPriority w:val="1"/>
    <w:qFormat/>
    <w:pPr>
      <w:spacing w:before="0" w:after="0" w:line="240" w:lineRule="auto"/>
    </w:pPr>
  </w:style>
  <w:style w:type="paragraph" w:styleId="747">
    <w:name w:val="Title"/>
    <w:basedOn w:val="905"/>
    <w:next w:val="905"/>
    <w:link w:val="74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8">
    <w:name w:val="Title Char"/>
    <w:link w:val="747"/>
    <w:uiPriority w:val="10"/>
    <w:rPr>
      <w:sz w:val="48"/>
      <w:szCs w:val="48"/>
    </w:rPr>
  </w:style>
  <w:style w:type="paragraph" w:styleId="749">
    <w:name w:val="Subtitle"/>
    <w:basedOn w:val="905"/>
    <w:next w:val="905"/>
    <w:link w:val="750"/>
    <w:uiPriority w:val="11"/>
    <w:qFormat/>
    <w:pPr>
      <w:spacing w:before="200" w:after="200"/>
    </w:pPr>
    <w:rPr>
      <w:sz w:val="24"/>
      <w:szCs w:val="24"/>
    </w:rPr>
  </w:style>
  <w:style w:type="character" w:styleId="750">
    <w:name w:val="Subtitle Char"/>
    <w:link w:val="749"/>
    <w:uiPriority w:val="11"/>
    <w:rPr>
      <w:sz w:val="24"/>
      <w:szCs w:val="24"/>
    </w:rPr>
  </w:style>
  <w:style w:type="paragraph" w:styleId="751">
    <w:name w:val="Quote"/>
    <w:basedOn w:val="905"/>
    <w:next w:val="905"/>
    <w:link w:val="752"/>
    <w:uiPriority w:val="29"/>
    <w:qFormat/>
    <w:pPr>
      <w:ind w:left="720" w:right="720"/>
    </w:pPr>
    <w:rPr>
      <w:i/>
    </w:rPr>
  </w:style>
  <w:style w:type="character" w:styleId="752">
    <w:name w:val="Quote Char"/>
    <w:link w:val="751"/>
    <w:uiPriority w:val="29"/>
    <w:rPr>
      <w:i/>
    </w:rPr>
  </w:style>
  <w:style w:type="paragraph" w:styleId="753">
    <w:name w:val="Intense Quote"/>
    <w:basedOn w:val="905"/>
    <w:next w:val="905"/>
    <w:link w:val="75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4">
    <w:name w:val="Intense Quote Char"/>
    <w:link w:val="753"/>
    <w:uiPriority w:val="30"/>
    <w:rPr>
      <w:i/>
    </w:rPr>
  </w:style>
  <w:style w:type="paragraph" w:styleId="755">
    <w:name w:val="Header"/>
    <w:basedOn w:val="905"/>
    <w:link w:val="75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6">
    <w:name w:val="Header Char"/>
    <w:link w:val="755"/>
    <w:uiPriority w:val="99"/>
  </w:style>
  <w:style w:type="paragraph" w:styleId="757">
    <w:name w:val="Footer"/>
    <w:basedOn w:val="905"/>
    <w:link w:val="75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8">
    <w:name w:val="Footer Char"/>
    <w:link w:val="757"/>
    <w:uiPriority w:val="99"/>
  </w:style>
  <w:style w:type="paragraph" w:styleId="759">
    <w:name w:val="Caption"/>
    <w:basedOn w:val="905"/>
    <w:next w:val="905"/>
    <w:link w:val="76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60">
    <w:name w:val="Caption Char"/>
    <w:link w:val="759"/>
    <w:uiPriority w:val="35"/>
    <w:rPr>
      <w:b/>
      <w:bCs/>
      <w:color w:val="4f81bd" w:themeColor="accent1"/>
      <w:sz w:val="18"/>
      <w:szCs w:val="18"/>
    </w:rPr>
  </w:style>
  <w:style w:type="table" w:styleId="76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2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3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4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5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6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8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0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2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3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4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5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6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9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0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0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0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03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0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0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0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0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0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10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5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6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7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8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9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30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3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9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6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6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6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6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6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6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6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0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8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7">
    <w:name w:val="Hyperlink"/>
    <w:uiPriority w:val="99"/>
    <w:unhideWhenUsed/>
    <w:rPr>
      <w:color w:val="0000ff" w:themeColor="hyperlink"/>
      <w:u w:val="single"/>
    </w:rPr>
  </w:style>
  <w:style w:type="paragraph" w:styleId="888">
    <w:name w:val="footnote text"/>
    <w:basedOn w:val="905"/>
    <w:link w:val="889"/>
    <w:uiPriority w:val="99"/>
    <w:semiHidden/>
    <w:unhideWhenUsed/>
    <w:pPr>
      <w:spacing w:after="40" w:line="240" w:lineRule="auto"/>
    </w:pPr>
    <w:rPr>
      <w:sz w:val="18"/>
    </w:rPr>
  </w:style>
  <w:style w:type="character" w:styleId="889">
    <w:name w:val="Footnote Text Char"/>
    <w:link w:val="888"/>
    <w:uiPriority w:val="99"/>
    <w:rPr>
      <w:sz w:val="18"/>
    </w:rPr>
  </w:style>
  <w:style w:type="character" w:styleId="890">
    <w:name w:val="footnote reference"/>
    <w:uiPriority w:val="99"/>
    <w:unhideWhenUsed/>
    <w:rPr>
      <w:vertAlign w:val="superscript"/>
    </w:rPr>
  </w:style>
  <w:style w:type="paragraph" w:styleId="891">
    <w:name w:val="endnote text"/>
    <w:basedOn w:val="905"/>
    <w:link w:val="892"/>
    <w:uiPriority w:val="99"/>
    <w:semiHidden/>
    <w:unhideWhenUsed/>
    <w:pPr>
      <w:spacing w:after="0" w:line="240" w:lineRule="auto"/>
    </w:pPr>
    <w:rPr>
      <w:sz w:val="20"/>
    </w:rPr>
  </w:style>
  <w:style w:type="character" w:styleId="892">
    <w:name w:val="Endnote Text Char"/>
    <w:link w:val="891"/>
    <w:uiPriority w:val="99"/>
    <w:rPr>
      <w:sz w:val="20"/>
    </w:rPr>
  </w:style>
  <w:style w:type="character" w:styleId="893">
    <w:name w:val="endnote reference"/>
    <w:uiPriority w:val="99"/>
    <w:semiHidden/>
    <w:unhideWhenUsed/>
    <w:rPr>
      <w:vertAlign w:val="superscript"/>
    </w:rPr>
  </w:style>
  <w:style w:type="paragraph" w:styleId="894">
    <w:name w:val="toc 1"/>
    <w:basedOn w:val="905"/>
    <w:next w:val="905"/>
    <w:uiPriority w:val="39"/>
    <w:unhideWhenUsed/>
    <w:pPr>
      <w:ind w:left="0" w:right="0" w:firstLine="0"/>
      <w:spacing w:after="57"/>
    </w:pPr>
  </w:style>
  <w:style w:type="paragraph" w:styleId="895">
    <w:name w:val="toc 2"/>
    <w:basedOn w:val="905"/>
    <w:next w:val="905"/>
    <w:uiPriority w:val="39"/>
    <w:unhideWhenUsed/>
    <w:pPr>
      <w:ind w:left="283" w:right="0" w:firstLine="0"/>
      <w:spacing w:after="57"/>
    </w:pPr>
  </w:style>
  <w:style w:type="paragraph" w:styleId="896">
    <w:name w:val="toc 3"/>
    <w:basedOn w:val="905"/>
    <w:next w:val="905"/>
    <w:uiPriority w:val="39"/>
    <w:unhideWhenUsed/>
    <w:pPr>
      <w:ind w:left="567" w:right="0" w:firstLine="0"/>
      <w:spacing w:after="57"/>
    </w:pPr>
  </w:style>
  <w:style w:type="paragraph" w:styleId="897">
    <w:name w:val="toc 4"/>
    <w:basedOn w:val="905"/>
    <w:next w:val="905"/>
    <w:uiPriority w:val="39"/>
    <w:unhideWhenUsed/>
    <w:pPr>
      <w:ind w:left="850" w:right="0" w:firstLine="0"/>
      <w:spacing w:after="57"/>
    </w:pPr>
  </w:style>
  <w:style w:type="paragraph" w:styleId="898">
    <w:name w:val="toc 5"/>
    <w:basedOn w:val="905"/>
    <w:next w:val="905"/>
    <w:uiPriority w:val="39"/>
    <w:unhideWhenUsed/>
    <w:pPr>
      <w:ind w:left="1134" w:right="0" w:firstLine="0"/>
      <w:spacing w:after="57"/>
    </w:pPr>
  </w:style>
  <w:style w:type="paragraph" w:styleId="899">
    <w:name w:val="toc 6"/>
    <w:basedOn w:val="905"/>
    <w:next w:val="905"/>
    <w:uiPriority w:val="39"/>
    <w:unhideWhenUsed/>
    <w:pPr>
      <w:ind w:left="1417" w:right="0" w:firstLine="0"/>
      <w:spacing w:after="57"/>
    </w:pPr>
  </w:style>
  <w:style w:type="paragraph" w:styleId="900">
    <w:name w:val="toc 7"/>
    <w:basedOn w:val="905"/>
    <w:next w:val="905"/>
    <w:uiPriority w:val="39"/>
    <w:unhideWhenUsed/>
    <w:pPr>
      <w:ind w:left="1701" w:right="0" w:firstLine="0"/>
      <w:spacing w:after="57"/>
    </w:pPr>
  </w:style>
  <w:style w:type="paragraph" w:styleId="901">
    <w:name w:val="toc 8"/>
    <w:basedOn w:val="905"/>
    <w:next w:val="905"/>
    <w:uiPriority w:val="39"/>
    <w:unhideWhenUsed/>
    <w:pPr>
      <w:ind w:left="1984" w:right="0" w:firstLine="0"/>
      <w:spacing w:after="57"/>
    </w:pPr>
  </w:style>
  <w:style w:type="paragraph" w:styleId="902">
    <w:name w:val="toc 9"/>
    <w:basedOn w:val="905"/>
    <w:next w:val="905"/>
    <w:uiPriority w:val="39"/>
    <w:unhideWhenUsed/>
    <w:pPr>
      <w:ind w:left="2268" w:right="0" w:firstLine="0"/>
      <w:spacing w:after="57"/>
    </w:pPr>
  </w:style>
  <w:style w:type="paragraph" w:styleId="903">
    <w:name w:val="TOC Heading"/>
    <w:uiPriority w:val="39"/>
    <w:unhideWhenUsed/>
  </w:style>
  <w:style w:type="paragraph" w:styleId="904">
    <w:name w:val="table of figures"/>
    <w:basedOn w:val="905"/>
    <w:next w:val="905"/>
    <w:uiPriority w:val="99"/>
    <w:unhideWhenUsed/>
    <w:pPr>
      <w:spacing w:after="0" w:afterAutospacing="0"/>
    </w:pPr>
  </w:style>
  <w:style w:type="paragraph" w:styleId="905" w:default="1">
    <w:name w:val="Normal"/>
    <w:next w:val="905"/>
    <w:link w:val="905"/>
    <w:qFormat/>
    <w:rPr>
      <w:sz w:val="24"/>
      <w:szCs w:val="24"/>
      <w:lang w:val="ru-RU" w:eastAsia="ru-RU" w:bidi="ar-SA"/>
    </w:rPr>
  </w:style>
  <w:style w:type="paragraph" w:styleId="906">
    <w:name w:val="Заголовок 1"/>
    <w:basedOn w:val="905"/>
    <w:next w:val="905"/>
    <w:link w:val="905"/>
    <w:qFormat/>
    <w:pPr>
      <w:keepNext/>
      <w:outlineLvl w:val="0"/>
    </w:pPr>
    <w:rPr>
      <w:sz w:val="28"/>
      <w:szCs w:val="20"/>
    </w:rPr>
  </w:style>
  <w:style w:type="character" w:styleId="907">
    <w:name w:val="Основной шрифт абзаца"/>
    <w:next w:val="907"/>
    <w:link w:val="905"/>
    <w:semiHidden/>
  </w:style>
  <w:style w:type="table" w:styleId="908">
    <w:name w:val="Обычная таблица"/>
    <w:next w:val="908"/>
    <w:link w:val="905"/>
    <w:semiHidden/>
    <w:tblPr/>
  </w:style>
  <w:style w:type="numbering" w:styleId="909">
    <w:name w:val="Нет списка"/>
    <w:next w:val="909"/>
    <w:link w:val="905"/>
    <w:semiHidden/>
  </w:style>
  <w:style w:type="paragraph" w:styleId="910">
    <w:name w:val="Основной текст с отступом"/>
    <w:basedOn w:val="905"/>
    <w:next w:val="910"/>
    <w:link w:val="905"/>
    <w:pPr>
      <w:ind w:left="625"/>
    </w:pPr>
    <w:rPr>
      <w:sz w:val="26"/>
    </w:rPr>
  </w:style>
  <w:style w:type="paragraph" w:styleId="911">
    <w:name w:val="Основной текст с отступом 2"/>
    <w:basedOn w:val="905"/>
    <w:next w:val="911"/>
    <w:link w:val="905"/>
    <w:pPr>
      <w:ind w:left="283"/>
      <w:spacing w:after="120" w:line="480" w:lineRule="auto"/>
    </w:pPr>
  </w:style>
  <w:style w:type="paragraph" w:styleId="912">
    <w:name w:val="Основной текст с отступом 3"/>
    <w:basedOn w:val="905"/>
    <w:next w:val="912"/>
    <w:link w:val="905"/>
    <w:pPr>
      <w:ind w:left="283"/>
      <w:spacing w:after="120"/>
    </w:pPr>
    <w:rPr>
      <w:sz w:val="16"/>
      <w:szCs w:val="16"/>
    </w:rPr>
  </w:style>
  <w:style w:type="paragraph" w:styleId="913">
    <w:name w:val="Основной текст"/>
    <w:basedOn w:val="905"/>
    <w:next w:val="913"/>
    <w:link w:val="905"/>
    <w:pPr>
      <w:spacing w:after="120"/>
    </w:pPr>
  </w:style>
  <w:style w:type="paragraph" w:styleId="914">
    <w:name w:val="Нижний колонтитул"/>
    <w:basedOn w:val="905"/>
    <w:next w:val="914"/>
    <w:link w:val="905"/>
    <w:pPr>
      <w:tabs>
        <w:tab w:val="center" w:pos="4677" w:leader="none"/>
        <w:tab w:val="right" w:pos="9355" w:leader="none"/>
      </w:tabs>
    </w:pPr>
  </w:style>
  <w:style w:type="character" w:styleId="915">
    <w:name w:val="Номер страницы"/>
    <w:basedOn w:val="907"/>
    <w:next w:val="915"/>
    <w:link w:val="905"/>
  </w:style>
  <w:style w:type="character" w:styleId="916">
    <w:name w:val="Гипертекстовая ссылка"/>
    <w:next w:val="916"/>
    <w:link w:val="905"/>
    <w:rPr>
      <w:color w:val="008000"/>
    </w:rPr>
  </w:style>
  <w:style w:type="paragraph" w:styleId="917">
    <w:name w:val="Текст (лев. подпись)"/>
    <w:basedOn w:val="905"/>
    <w:next w:val="905"/>
    <w:link w:val="905"/>
    <w:pPr>
      <w:widowControl w:val="off"/>
    </w:pPr>
    <w:rPr>
      <w:rFonts w:ascii="Arial" w:hAnsi="Arial" w:cs="Arial"/>
    </w:rPr>
  </w:style>
  <w:style w:type="paragraph" w:styleId="918">
    <w:name w:val="Текст (прав. подпись)"/>
    <w:basedOn w:val="905"/>
    <w:next w:val="905"/>
    <w:link w:val="905"/>
    <w:pPr>
      <w:jc w:val="right"/>
      <w:widowControl w:val="off"/>
    </w:pPr>
    <w:rPr>
      <w:rFonts w:ascii="Arial" w:hAnsi="Arial" w:cs="Arial"/>
    </w:rPr>
  </w:style>
  <w:style w:type="paragraph" w:styleId="919">
    <w:name w:val="Комментарий"/>
    <w:basedOn w:val="905"/>
    <w:next w:val="905"/>
    <w:link w:val="905"/>
    <w:pPr>
      <w:ind w:left="170"/>
      <w:jc w:val="both"/>
      <w:widowControl w:val="off"/>
    </w:pPr>
    <w:rPr>
      <w:rFonts w:ascii="Arial" w:hAnsi="Arial" w:cs="Arial"/>
      <w:i/>
      <w:iCs/>
      <w:color w:val="800080"/>
    </w:rPr>
  </w:style>
  <w:style w:type="table" w:styleId="920">
    <w:name w:val="Сетка таблицы"/>
    <w:basedOn w:val="908"/>
    <w:next w:val="920"/>
    <w:link w:val="905"/>
    <w:tblPr/>
  </w:style>
  <w:style w:type="paragraph" w:styleId="921">
    <w:name w:val="Прижатый влево"/>
    <w:basedOn w:val="905"/>
    <w:next w:val="905"/>
    <w:link w:val="905"/>
    <w:rPr>
      <w:rFonts w:ascii="Arial" w:hAnsi="Arial"/>
    </w:rPr>
  </w:style>
  <w:style w:type="paragraph" w:styleId="922">
    <w:name w:val="Нормальный (таблица)"/>
    <w:basedOn w:val="905"/>
    <w:next w:val="905"/>
    <w:link w:val="905"/>
    <w:pPr>
      <w:jc w:val="both"/>
    </w:pPr>
    <w:rPr>
      <w:rFonts w:ascii="Arial" w:hAnsi="Arial"/>
    </w:rPr>
  </w:style>
  <w:style w:type="character" w:styleId="923">
    <w:name w:val="Цветовое выделение"/>
    <w:next w:val="923"/>
    <w:link w:val="905"/>
    <w:rPr>
      <w:b/>
      <w:bCs/>
      <w:color w:val="000080"/>
    </w:rPr>
  </w:style>
  <w:style w:type="paragraph" w:styleId="924">
    <w:name w:val="Верхний колонтитул"/>
    <w:basedOn w:val="905"/>
    <w:next w:val="924"/>
    <w:link w:val="905"/>
    <w:pPr>
      <w:tabs>
        <w:tab w:val="center" w:pos="4677" w:leader="none"/>
        <w:tab w:val="right" w:pos="9355" w:leader="none"/>
      </w:tabs>
    </w:pPr>
  </w:style>
  <w:style w:type="paragraph" w:styleId="925">
    <w:name w:val="Текст выноски"/>
    <w:basedOn w:val="905"/>
    <w:next w:val="925"/>
    <w:link w:val="905"/>
    <w:semiHidden/>
    <w:rPr>
      <w:rFonts w:ascii="Tahoma" w:hAnsi="Tahoma" w:cs="Tahoma"/>
      <w:sz w:val="16"/>
      <w:szCs w:val="16"/>
    </w:rPr>
  </w:style>
  <w:style w:type="paragraph" w:styleId="926">
    <w:name w:val="ConsPlusNormal"/>
    <w:next w:val="926"/>
    <w:link w:val="905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character" w:styleId="927">
    <w:name w:val="apple-style-span"/>
    <w:basedOn w:val="907"/>
    <w:next w:val="927"/>
    <w:link w:val="905"/>
  </w:style>
  <w:style w:type="paragraph" w:styleId="928">
    <w:name w:val="Стиль Норма + не все прописные"/>
    <w:basedOn w:val="905"/>
    <w:next w:val="928"/>
    <w:link w:val="905"/>
    <w:rPr>
      <w:rFonts w:ascii="Arial" w:hAnsi="Arial"/>
    </w:rPr>
  </w:style>
  <w:style w:type="paragraph" w:styleId="929">
    <w:name w:val="Style4"/>
    <w:basedOn w:val="905"/>
    <w:next w:val="929"/>
    <w:link w:val="905"/>
    <w:pPr>
      <w:widowControl w:val="off"/>
    </w:pPr>
  </w:style>
  <w:style w:type="paragraph" w:styleId="930">
    <w:name w:val=" Знак1"/>
    <w:basedOn w:val="905"/>
    <w:next w:val="930"/>
    <w:link w:val="90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931" w:default="1">
    <w:name w:val="Default Paragraph Font"/>
    <w:uiPriority w:val="1"/>
    <w:semiHidden/>
    <w:unhideWhenUsed/>
  </w:style>
  <w:style w:type="numbering" w:styleId="932" w:default="1">
    <w:name w:val="No List"/>
    <w:uiPriority w:val="99"/>
    <w:semiHidden/>
    <w:unhideWhenUsed/>
  </w:style>
  <w:style w:type="table" w:styleId="93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---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User</dc:creator>
  <cp:lastModifiedBy>Пользователь</cp:lastModifiedBy>
  <cp:revision>30</cp:revision>
  <dcterms:created xsi:type="dcterms:W3CDTF">2022-10-04T23:35:00Z</dcterms:created>
  <dcterms:modified xsi:type="dcterms:W3CDTF">2026-09-24T07:32:21Z</dcterms:modified>
  <cp:version>1048576</cp:version>
</cp:coreProperties>
</file>