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B1" w:rsidRDefault="008B40B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B40B1" w:rsidRDefault="008B40B1">
      <w:pPr>
        <w:pStyle w:val="ConsPlusNormal"/>
        <w:jc w:val="both"/>
        <w:outlineLvl w:val="0"/>
      </w:pPr>
    </w:p>
    <w:p w:rsidR="008B40B1" w:rsidRDefault="008B40B1">
      <w:pPr>
        <w:pStyle w:val="ConsPlusTitle"/>
        <w:jc w:val="center"/>
        <w:outlineLvl w:val="0"/>
      </w:pPr>
      <w:r>
        <w:t>МИНИСТЕРСТВО ЭКОНОМИЧЕСКОГО РАЗВИТИЯ РОССИЙСКОЙ ФЕДЕРАЦИИ</w:t>
      </w:r>
    </w:p>
    <w:p w:rsidR="008B40B1" w:rsidRDefault="008B40B1">
      <w:pPr>
        <w:pStyle w:val="ConsPlusTitle"/>
        <w:jc w:val="center"/>
      </w:pPr>
    </w:p>
    <w:p w:rsidR="008B40B1" w:rsidRDefault="008B40B1">
      <w:pPr>
        <w:pStyle w:val="ConsPlusTitle"/>
        <w:jc w:val="center"/>
      </w:pPr>
      <w:r>
        <w:t>ПИСЬМО</w:t>
      </w:r>
    </w:p>
    <w:p w:rsidR="008B40B1" w:rsidRDefault="008B40B1">
      <w:pPr>
        <w:pStyle w:val="ConsPlusTitle"/>
        <w:jc w:val="center"/>
      </w:pPr>
      <w:r>
        <w:t xml:space="preserve">от 12 декабря 2014 г. N </w:t>
      </w:r>
      <w:bookmarkStart w:id="0" w:name="_GoBack"/>
      <w:r>
        <w:t>31260-ОФ/Д26и</w:t>
      </w:r>
      <w:bookmarkEnd w:id="0"/>
    </w:p>
    <w:p w:rsidR="008B40B1" w:rsidRDefault="008B40B1">
      <w:pPr>
        <w:pStyle w:val="ConsPlusTitle"/>
        <w:jc w:val="center"/>
      </w:pPr>
    </w:p>
    <w:p w:rsidR="008B40B1" w:rsidRDefault="008B40B1">
      <w:pPr>
        <w:pStyle w:val="ConsPlusTitle"/>
        <w:jc w:val="center"/>
      </w:pPr>
      <w:r>
        <w:t>О НАПРАВЛЕНИИ МЕТОДИЧЕСКИХ РЕКОМЕНДАЦИЙ</w:t>
      </w:r>
    </w:p>
    <w:p w:rsidR="008B40B1" w:rsidRDefault="008B40B1">
      <w:pPr>
        <w:pStyle w:val="ConsPlusTitle"/>
        <w:jc w:val="center"/>
      </w:pPr>
      <w:r>
        <w:t>ПО ОРГАНИЗАЦИИ И ПРОВЕДЕНИЮ ПРОЦЕДУРЫ ОЦЕНКИ РЕГУЛИРУЮЩЕГО</w:t>
      </w:r>
    </w:p>
    <w:p w:rsidR="008B40B1" w:rsidRDefault="008B40B1">
      <w:pPr>
        <w:pStyle w:val="ConsPlusTitle"/>
        <w:jc w:val="center"/>
      </w:pPr>
      <w:r>
        <w:t>ВОЗДЕЙСТВИЯ ПРОЕКТОВ МУНИЦИПАЛЬНЫХ НОРМАТИВНЫХ ПРАВОВЫХ</w:t>
      </w:r>
    </w:p>
    <w:p w:rsidR="008B40B1" w:rsidRDefault="008B40B1">
      <w:pPr>
        <w:pStyle w:val="ConsPlusTitle"/>
        <w:jc w:val="center"/>
      </w:pPr>
      <w:r>
        <w:t>АКТОВ И ЭКСПЕРТИЗЫ МУНИЦИПАЛЬНЫХ НОРМАТИВНЫХ ПРАВОВЫХ АКТОВ</w:t>
      </w:r>
    </w:p>
    <w:p w:rsidR="008B40B1" w:rsidRDefault="008B40B1">
      <w:pPr>
        <w:pStyle w:val="ConsPlusNormal"/>
        <w:jc w:val="center"/>
      </w:pPr>
    </w:p>
    <w:p w:rsidR="008B40B1" w:rsidRDefault="008B40B1">
      <w:pPr>
        <w:pStyle w:val="ConsPlusNormal"/>
        <w:ind w:firstLine="540"/>
        <w:jc w:val="both"/>
      </w:pPr>
      <w:r>
        <w:t xml:space="preserve">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 июля 2013 г. N 176-ФЗ "О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статьи 7 и 46 Федерального закона "Об общих принципах организации местного самоуправления в Российской Федерации" по вопросам оценки регулирующего воздействия проектов нормативных правовых актов и экспертизы нормативных правовых актов" предусмотрена обязательность проведения оценки регулирующего воздействия проектов нормативных правовых актов, затрагивающих вопросы ведения предпринимательской и инвестиционной деятельности, а также экспертизы действующих нормативных правовых актов в городских округах, являющихся административными центрами субъектов Российской Федерации с 1 января 2015 г., в муниципальных районах, городских округах и внутригородских территориях городов федерального значения с 1 января 2016 г., в иных муниципальных образованиях с 1 января 2017 г.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 xml:space="preserve">В целях обеспечения единого подхода, а также методической поддержки органов местного самоуправления при организации и проведении процедуры регулирующего воздействия проектов муниципальных нормативных правовых актов и экспертизы муниципальных нормативных актов Минэкономразвития России разработаны Типовые методические </w:t>
      </w:r>
      <w:hyperlink w:anchor="P23" w:history="1">
        <w:r>
          <w:rPr>
            <w:color w:val="0000FF"/>
          </w:rPr>
          <w:t>рекомендации</w:t>
        </w:r>
      </w:hyperlink>
      <w:r>
        <w:t xml:space="preserve">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Направляется для утверждения и учета в работе.</w:t>
      </w:r>
    </w:p>
    <w:p w:rsidR="008B40B1" w:rsidRDefault="008B40B1">
      <w:pPr>
        <w:pStyle w:val="ConsPlusNormal"/>
        <w:jc w:val="center"/>
      </w:pPr>
    </w:p>
    <w:p w:rsidR="008B40B1" w:rsidRDefault="008B40B1">
      <w:pPr>
        <w:pStyle w:val="ConsPlusNormal"/>
        <w:jc w:val="right"/>
      </w:pPr>
      <w:r>
        <w:t>О.В.ФОМИЧЕВ</w:t>
      </w:r>
    </w:p>
    <w:p w:rsidR="008B40B1" w:rsidRDefault="008B40B1">
      <w:pPr>
        <w:pStyle w:val="ConsPlusNormal"/>
        <w:ind w:firstLine="540"/>
        <w:jc w:val="both"/>
      </w:pPr>
    </w:p>
    <w:p w:rsidR="008B40B1" w:rsidRDefault="008B40B1">
      <w:pPr>
        <w:pStyle w:val="ConsPlusNormal"/>
        <w:ind w:firstLine="540"/>
        <w:jc w:val="both"/>
      </w:pPr>
    </w:p>
    <w:p w:rsidR="008B40B1" w:rsidRDefault="008B40B1">
      <w:pPr>
        <w:pStyle w:val="ConsPlusNormal"/>
        <w:ind w:firstLine="540"/>
        <w:jc w:val="both"/>
      </w:pPr>
    </w:p>
    <w:p w:rsidR="008B40B1" w:rsidRDefault="008B40B1">
      <w:pPr>
        <w:pStyle w:val="ConsPlusNormal"/>
        <w:ind w:firstLine="540"/>
        <w:jc w:val="both"/>
      </w:pPr>
    </w:p>
    <w:p w:rsidR="008B40B1" w:rsidRDefault="008B40B1">
      <w:pPr>
        <w:pStyle w:val="ConsPlusNormal"/>
        <w:ind w:firstLine="540"/>
        <w:jc w:val="both"/>
      </w:pPr>
    </w:p>
    <w:p w:rsidR="008B40B1" w:rsidRDefault="008B40B1">
      <w:pPr>
        <w:pStyle w:val="ConsPlusNormal"/>
        <w:jc w:val="right"/>
        <w:outlineLvl w:val="0"/>
      </w:pPr>
      <w:r>
        <w:t>Приложение</w:t>
      </w:r>
    </w:p>
    <w:p w:rsidR="008B40B1" w:rsidRDefault="008B40B1">
      <w:pPr>
        <w:pStyle w:val="ConsPlusNormal"/>
        <w:jc w:val="right"/>
      </w:pPr>
    </w:p>
    <w:p w:rsidR="008B40B1" w:rsidRDefault="008B40B1">
      <w:pPr>
        <w:pStyle w:val="ConsPlusNormal"/>
        <w:jc w:val="center"/>
      </w:pPr>
      <w:bookmarkStart w:id="1" w:name="P23"/>
      <w:bookmarkEnd w:id="1"/>
      <w:r>
        <w:t>МЕТОДИЧЕСКИЕ РЕКОМЕНДАЦИИ</w:t>
      </w:r>
    </w:p>
    <w:p w:rsidR="008B40B1" w:rsidRDefault="008B40B1">
      <w:pPr>
        <w:pStyle w:val="ConsPlusNormal"/>
        <w:jc w:val="center"/>
      </w:pPr>
      <w:r>
        <w:t>ПО ОРГАНИЗАЦИИ И ПРОВЕДЕНИЮ ПРОЦЕДУРЫ ОЦЕНКИ РЕГУЛИРУЮЩЕГО</w:t>
      </w:r>
    </w:p>
    <w:p w:rsidR="008B40B1" w:rsidRDefault="008B40B1">
      <w:pPr>
        <w:pStyle w:val="ConsPlusNormal"/>
        <w:jc w:val="center"/>
      </w:pPr>
      <w:r>
        <w:t>ВОЗДЕЙСТВИЯ ПРОЕКТОВ МУНИЦИПАЛЬНЫХ НОРМАТИВНЫХ ПРАВОВЫХ</w:t>
      </w:r>
    </w:p>
    <w:p w:rsidR="008B40B1" w:rsidRDefault="008B40B1">
      <w:pPr>
        <w:pStyle w:val="ConsPlusNormal"/>
        <w:jc w:val="center"/>
      </w:pPr>
      <w:r>
        <w:t>АКТОВ И ЭКСПЕРТИЗЫ МУНИЦИПАЛЬНЫХ НОРМАТИВНЫХ ПРАВОВЫХ АКТОВ</w:t>
      </w:r>
    </w:p>
    <w:p w:rsidR="008B40B1" w:rsidRDefault="008B40B1">
      <w:pPr>
        <w:pStyle w:val="ConsPlusNormal"/>
        <w:jc w:val="center"/>
      </w:pPr>
    </w:p>
    <w:p w:rsidR="008B40B1" w:rsidRDefault="008B40B1">
      <w:pPr>
        <w:pStyle w:val="ConsPlusNormal"/>
        <w:jc w:val="center"/>
        <w:outlineLvl w:val="1"/>
      </w:pPr>
      <w:r>
        <w:t>I. Общие положения</w:t>
      </w:r>
    </w:p>
    <w:p w:rsidR="008B40B1" w:rsidRDefault="008B40B1">
      <w:pPr>
        <w:pStyle w:val="ConsPlusNormal"/>
        <w:jc w:val="center"/>
      </w:pPr>
    </w:p>
    <w:p w:rsidR="008B40B1" w:rsidRDefault="008B40B1">
      <w:pPr>
        <w:pStyle w:val="ConsPlusNormal"/>
        <w:ind w:firstLine="540"/>
        <w:jc w:val="both"/>
      </w:pPr>
      <w:r>
        <w:t xml:space="preserve">1. Настоящие Методические рекомендации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(далее - Методические рекомендации) подготовлены с целью методической поддержки органов местного самоуправления при </w:t>
      </w:r>
      <w:r>
        <w:lastRenderedPageBreak/>
        <w:t>организации и проведении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(далее - процедура ОРВ, экспертиза).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 xml:space="preserve">2. В соответствии с </w:t>
      </w:r>
      <w:hyperlink r:id="rId6" w:history="1">
        <w:r>
          <w:rPr>
            <w:color w:val="0000FF"/>
          </w:rPr>
          <w:t>частью 6 статьи 7</w:t>
        </w:r>
      </w:hyperlink>
      <w:r>
        <w:t xml:space="preserve"> и </w:t>
      </w:r>
      <w:hyperlink r:id="rId7" w:history="1">
        <w:r>
          <w:rPr>
            <w:color w:val="0000FF"/>
          </w:rPr>
          <w:t>частью 3 статьи 46</w:t>
        </w:r>
      </w:hyperlink>
      <w:r>
        <w:t xml:space="preserve"> Федерального закона от 6 октября 2003 г. N 131-ФЗ "Об общих принципах организации местного самоуправления в Российской Федерации" (далее - Федеральный закон) предусмотрено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 xml:space="preserve">Положения </w:t>
      </w:r>
      <w:hyperlink r:id="rId8" w:history="1">
        <w:r>
          <w:rPr>
            <w:color w:val="0000FF"/>
          </w:rPr>
          <w:t>части 6 статьи 7</w:t>
        </w:r>
      </w:hyperlink>
      <w:r>
        <w:t xml:space="preserve"> и </w:t>
      </w:r>
      <w:hyperlink r:id="rId9" w:history="1">
        <w:r>
          <w:rPr>
            <w:color w:val="0000FF"/>
          </w:rPr>
          <w:t>части 3 статьи 46</w:t>
        </w:r>
      </w:hyperlink>
      <w:r>
        <w:t xml:space="preserve"> Федерального закона применяются в отношении городских округов, являющихся административными центрами субъектов Российской Федерации с 1 января 2015 года, муниципальных районов, городских округов и внутригородских территорий городов федерального значения с 1 января 2016 года, иных муниципальных образований - с 1 января 2017 года.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При этом в качестве апробации подходов по оценке регулирующего воздействия в городских округах и внутригородских территориях городов федерального значения, муниципальных районах и иных муниципальных образованиях возможно осуществление внедрения процедуры ОРВ и экспертизы раньше указанных сроков.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3. В муниципальном нормативном правовом акте, устанавливающем порядок проведения процедуры ОРВ, рекомендуется закрепить предметную область проведения ОРВ, к которой относятся проекты муниципальных нормативных правовых актов, затрагивающие вопросы осуществления предпринимательской и инвестиционной деятельности, установив при этом, что оценка регулирующего воздействия не проводится в отношении: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- проектов местных бюджетов и отчетов об их исполнении;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- проектов муниципальных нормативных правовых актов, устанавливающих налоги, сборы и тарифы, установление которых отнесено к вопросам местного значения;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 xml:space="preserve">- проектов муниципальных нормативных правовых актов, подлежащих публичным слушаниям в соответствии со </w:t>
      </w:r>
      <w:hyperlink r:id="rId10" w:history="1">
        <w:r>
          <w:rPr>
            <w:color w:val="0000FF"/>
          </w:rPr>
          <w:t>статьей 28</w:t>
        </w:r>
      </w:hyperlink>
      <w:r>
        <w:t xml:space="preserve"> Федерального закона.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 xml:space="preserve">4. При организации и проведении процедуры ОРВ и экспертизы могут применяться Методические </w:t>
      </w:r>
      <w:hyperlink r:id="rId11" w:history="1">
        <w:r>
          <w:rPr>
            <w:color w:val="0000FF"/>
          </w:rPr>
          <w:t>рекомендации</w:t>
        </w:r>
      </w:hyperlink>
      <w:r>
        <w:t xml:space="preserve">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Федерации, утвержденные приказом Министерства экономического развития Российской Федерации от 26 марта 2014 г. N 159 (далее - Методические рекомендации N 159).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5. Никакие из положений, приведенных в настоящих Методических рекомендациях, не должны применяться таким образом, чтобы вступать в противоречие с требованиями законодательства Российской Федерации.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6. В настоящих Методических рекомендациях используются следующие основные понятия и их определения: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 xml:space="preserve">уполномоченный орган - орган местного самоуправления (структурное подразделение органа местного самоуправления, должностные лица органа местного самоуправления), ответственный за внедрение процедуры ОРВ и выполняющий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ОРВ разработчиками проектов муниципальных нормативных правовых актов и на проведение экспертизы муниципальных нормативных </w:t>
      </w:r>
      <w:r>
        <w:lastRenderedPageBreak/>
        <w:t>правовых актов;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разработчики проектов муниципальных нормативных правовых актов - органы местного самоуправления (структурные подразделения органа местного самоуправления) или субъекты правотворческой инициативы, установленные уставом муниципального образования, осуществляющие в пределах предоставляемых полномочий функции по вопросам местного значения (далее - органы-разработчики);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размещение уведомления о разработке предлагаемого правового регулирования (далее - уведомление) - этап процедуры ОРВ, в ходе которого орган-разработчик организует обсуждение идеи (концепции) предлагаемого им правового регулирования с заинтересованными лицами;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сводный отчет о результатах проведения оценки регулирующего воздействия проекта муниципального нормативного правового акта (далее - сводный отчет) - документ, содержащий выводы по итогам проведения органом-разработчиком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решения. Форма сводного отчета утверждается органом местного самоуправления в соответствии с нормативными правовыми актами субъекта Российской Федерации;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официальный сайт - информационный ресурс в информационно-телекоммуникационной сети "Интернет", определенный в муниципальном образовании для размещения сведений о проведении процедуры ОРВ, в том числе в целях организации публичных консультаций и информирования об их результатах, либо интернет-портал для публичного обсуждения проектов и действующих нормативных актов органов власти субъектов Российской Федерации (специализированный региональный типовой портал);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размещение проекта муниципального нормативного правового акта и сводного отчета - этап процедуры ОРВ, в ходе которого орган-разработчик и (или) уполномоченный орган организует обсуждение текста проекта муниципального нормативного правового акта и сводного отчета с заинтересованными лицами, в том числе с использованием официальных сайтов в информационно-телекоммуникационной сети "Интернет";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публичные консультации - открытое обсуждение с заинтересованными лицами идеи (концепции) предлагаемого органом-разработчиком правового регулирования, организуемого органом-разработчиком в ходе проведения процедуры ОРВ, а также текста проекта муниципального нормативного правового акта и сводного отчета, организуемого органом-разработчиком и (или) уполномоченным органом в ходе проведения процедуры ОРВ и подготовки заключения об оценке регулирующего воздействия;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заключение об оценке регулирующего воздействия - завершающий процедуру ОРВ документ, подготавливаемый уполномоченным органом и содержащий выводы об обоснованности полученных органом-разработчиком результатов оценки регулирующего воздействия проекта муниципального нормативного правового акта;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заключение об экспертизе - завершающий экспертизу документ, подготавливаемый уполномоченным органом и содержащий вывод о положениях муниципального нормативного правового акта, в отношении которого проводится экспертиза, создающих необоснованные затруднения для осуществления предпринимательской и инвестиционной деятельности, или об отсутствии таких положений, а также обоснование сделанных выводов.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7. Участниками процедуры ОРВ и экспертизы являются органы - разработчики проектов муниципальных нормативных правовых актов, уполномоченный орган, иные органы власти и заинтересованные лица, принимающие участие в публичных консультациях в ходе проведения процедуры ОРВ и экспертизы.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lastRenderedPageBreak/>
        <w:t>8. В муниципальном нормативном правовом акте, устанавливающем порядок проведения процедуры ОРВ, рекомендуется закрепить механизмы учета выводов, содержащихся в заключениях об оценке регулирующего воздействия (обязательный учет данных выводов, специальные процедуры урегулирования разногласий по возникшим в ходе процедуры ОРВ спорным вопросам или иные механизмы).</w:t>
      </w:r>
    </w:p>
    <w:p w:rsidR="008B40B1" w:rsidRDefault="008B40B1">
      <w:pPr>
        <w:pStyle w:val="ConsPlusNormal"/>
        <w:ind w:firstLine="540"/>
        <w:jc w:val="both"/>
      </w:pPr>
    </w:p>
    <w:p w:rsidR="008B40B1" w:rsidRDefault="008B40B1">
      <w:pPr>
        <w:pStyle w:val="ConsPlusNormal"/>
        <w:jc w:val="center"/>
        <w:outlineLvl w:val="1"/>
      </w:pPr>
      <w:r>
        <w:t>II. Организация и проведение процедуры</w:t>
      </w:r>
    </w:p>
    <w:p w:rsidR="008B40B1" w:rsidRDefault="008B40B1">
      <w:pPr>
        <w:pStyle w:val="ConsPlusNormal"/>
        <w:jc w:val="center"/>
      </w:pPr>
      <w:r>
        <w:t>оценки регулирующего воздействия проектов муниципальных</w:t>
      </w:r>
    </w:p>
    <w:p w:rsidR="008B40B1" w:rsidRDefault="008B40B1">
      <w:pPr>
        <w:pStyle w:val="ConsPlusNormal"/>
        <w:jc w:val="center"/>
      </w:pPr>
      <w:r>
        <w:t>нормативных правовых актов</w:t>
      </w:r>
    </w:p>
    <w:p w:rsidR="008B40B1" w:rsidRDefault="008B40B1">
      <w:pPr>
        <w:pStyle w:val="ConsPlusNormal"/>
        <w:ind w:firstLine="540"/>
        <w:jc w:val="both"/>
      </w:pPr>
    </w:p>
    <w:p w:rsidR="008B40B1" w:rsidRDefault="008B40B1">
      <w:pPr>
        <w:pStyle w:val="ConsPlusNormal"/>
        <w:ind w:firstLine="540"/>
        <w:jc w:val="both"/>
      </w:pPr>
      <w:r>
        <w:t>9. Определяемые муниципальным образованием приоритеты экономической политики, сложившаяся система органов местного самоуправления в Российской Федерации, накопленный опыт организации и проведения процедуры ОРВ, ресурсные и бюджетные ограничения определяют особенности организации процедуры ОРВ проектов муниципальных нормативных правовых актов в различных муниципальных образованиях.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10. В настоящих методических рекомендациях предусмотрена следующая модель организации процедуры ОРВ в муниципальных образованиях: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орган-разработчик представляет проект муниципального нормативного правового акта и сводный отчет в уполномоченный орган без проведения публичных консультаций проекта муниципального нормативного правового акта и сводного отчета, а уполномоченный орган самостоятельно проводит публичные консультации с заинтересованными лицами с использованием официального сайта, как на этапе обсуждения проекта муниципального нормативного правового акта, так и на этапе подготовки заключения об оценке регулирующего воздействия (при необходимости).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 xml:space="preserve">11. При организации и проведении процедуры ОРВ в муниципальных образованиях могут быть использованы модели организации процедуры ОРВ в субъектах Российской Федерации, предусмотренные </w:t>
      </w:r>
      <w:hyperlink r:id="rId12" w:history="1">
        <w:r>
          <w:rPr>
            <w:color w:val="0000FF"/>
          </w:rPr>
          <w:t>пунктом 2.3</w:t>
        </w:r>
      </w:hyperlink>
      <w:r>
        <w:t xml:space="preserve"> Методических рекомендаций N 159.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12. Необходимость проведения публичных консультаций по обсуждению идеи (концепции) предлагаемого правового регулирования при разработке проектов муниципальных нормативных правовых актов определяется законом субъекта Российской Федерации и (или) нормативными правовыми актами муниципального образования.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13. В случае принятия решения о необходимости введения предлагаемого правового регулирования для решения выявленной проблемы орган-разработчик разрабатывает соответствующий проект муниципального нормативного правового акта и формирует сводный отчет.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14. В сводном отчете органу-разработчику рекомендуется отразить следующие положения: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1) общая информация (орган-разработчик, вид и наименование акта);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2) описание проблемы, на решение которой направлено предлагаемое правовое регулирование;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3) определение целей предлагаемого правового регулирования;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4) качественная характеристика и оценка численности потенциальных адресатов предлагаемого правового регулирования;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5)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lastRenderedPageBreak/>
        <w:t>6) оценка дополнительных расходов (доходов) местных бюджетов, связанных с введением предлагаемого правового регулирования;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7)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15. В муниципальном нормативном правовом акте, устанавливающем порядок проведения процедуры ОРВ, рекомендуется установить требование об отражении сведений, предусмотренных настоящими Методическими рекомендациями, в сводном отчете, а также возможность возвращения сводного отчета и проекта муниципального нормативного правового акта на доработку в случае их отсутствия.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16. Орган-разработчик направляет проект муниципального нормативного правового акта и сводный отчет в уполномоченный орган для проведения публичного обсуждения проекта муниципального нормативного правового акта и сводного отчета, а также подготовки заключения об оценке регулирующего воздействия.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17. В целях проведения обсуждения проекта муниципального нормативного правового акта и сводного отчета уполномоченный орган размещает на официальном сайте проект муниципального нормативного правового акта и сводный отчет и проводит публичные консультации с заинтересованными лицами.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18. К тексту проекта муниципального нормативного правового акта и сводному отчету прикладываются и размещаются на официальном сайте: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а) перечень вопросов для участников публичных консультаций;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б) иные материалы и информация по усмотрению уполномоченного органа.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19. Уполномоченному органу рекомендуется установить срок проведения публичных консультаций не менее 10 рабочих дней со дня размещения проекта муниципального нормативного правового акта и сводного отчета на официальном сайте.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Перед началом публичных консультаций уполномоченный орган указывает срок, в течение которого будет осуществляться прием позиций заинтересованных лиц.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20. О проведении публичных консультаций по проекту муниципального нормативного правового акта и сводного отчета (с указанием источника опубликования) рекомендуется извещать следующие органы и организации: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органы и организации, действующие на территории муниципального образования, целью деятельности которых является защита и представление интересов субъектов предпринимательской и инвестиционной деятельности;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уполномоченного по защите прав предпринимателей в субъекте Российской Федерации;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иных лиц, которых целесообразно привлечь к публичным консультациям, исходя из содержания проблемы, цели и предмета регулирования.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Отсутствие у органа-разработчика исчерпывающих сведений о круге лиц, интересы которых могут быть затронуты предлагаемым правовым регулированием, не является основанием для отказа от рассылки извещений о проведении публичных консультаций.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 xml:space="preserve">21. Уполномоченный орган обрабатывает все предложения, поступившие в ходе обсуждения проекта муниципального нормативного правового акта и сводного отчета в установленный срок. По результатам рассмотрения уполномоченный орган составляет сводку </w:t>
      </w:r>
      <w:r>
        <w:lastRenderedPageBreak/>
        <w:t>предложений.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22. В муниципальном нормативном правовом акте, устанавливающем порядок проведения процедуры ОРВ, рекомендуется закрепить сроки, в течение которых сводка предложений, поступившая по результатам проведения публичных консультаций проекта муниципального нормативного правового акта и сводного отчета, должна размещаться на официальном сайте. Рекомендуется установить данный срок не менее 15 рабочих дней со дня окончания публичных консультаций.</w:t>
      </w:r>
    </w:p>
    <w:p w:rsidR="008B40B1" w:rsidRDefault="008B40B1">
      <w:pPr>
        <w:pStyle w:val="ConsPlusNormal"/>
        <w:ind w:firstLine="540"/>
        <w:jc w:val="both"/>
      </w:pPr>
    </w:p>
    <w:p w:rsidR="008B40B1" w:rsidRDefault="008B40B1">
      <w:pPr>
        <w:pStyle w:val="ConsPlusNormal"/>
        <w:jc w:val="center"/>
        <w:outlineLvl w:val="1"/>
      </w:pPr>
      <w:r>
        <w:t>III. Подготовка заключения об оценке</w:t>
      </w:r>
    </w:p>
    <w:p w:rsidR="008B40B1" w:rsidRDefault="008B40B1">
      <w:pPr>
        <w:pStyle w:val="ConsPlusNormal"/>
        <w:jc w:val="center"/>
      </w:pPr>
      <w:r>
        <w:t>регулирующего воздействия проекта муниципального</w:t>
      </w:r>
    </w:p>
    <w:p w:rsidR="008B40B1" w:rsidRDefault="008B40B1">
      <w:pPr>
        <w:pStyle w:val="ConsPlusNormal"/>
        <w:jc w:val="center"/>
      </w:pPr>
      <w:r>
        <w:t>нормативного правового акта</w:t>
      </w:r>
    </w:p>
    <w:p w:rsidR="008B40B1" w:rsidRDefault="008B40B1">
      <w:pPr>
        <w:pStyle w:val="ConsPlusNormal"/>
        <w:ind w:firstLine="540"/>
        <w:jc w:val="both"/>
      </w:pPr>
    </w:p>
    <w:p w:rsidR="008B40B1" w:rsidRDefault="008B40B1">
      <w:pPr>
        <w:pStyle w:val="ConsPlusNormal"/>
        <w:ind w:firstLine="540"/>
        <w:jc w:val="both"/>
      </w:pPr>
      <w:bookmarkStart w:id="2" w:name="P91"/>
      <w:bookmarkEnd w:id="2"/>
      <w:r>
        <w:t>23. Заключение об оценке регулирующего воздействия содержит выводы об обоснованности выбора органом-разработчиком варианта правового регулирования и о наличии либо отсутствии положений, необоснованно затрудняющих осуществление предпринимательской и инвестиционной деятельности.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24. В муниципальном нормативном правовом акте, устанавливающем порядок проведения процедуры ОРВ, рекомендуется закрепить срок, в течение которого уполномоченный орган осуществляет подготовку заключения об оценки регулирующего воздействия. Рекомендуется установить данный срок не менее 5 рабочих дней.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25. Уполномоченный орган осуществляет анализ обоснованности выводов органа-разработчика относительно необходимости введения предлагаемого им способа правового регулирования.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26. Анализ, проводимый уполномоченным органом, основывается на результатах исследования органом-разработчиком выявленной проблемы, представленных в сводном отчете. При этом учитываются также мнения потенциальных адресатов предлагаемого правового регулирования, отраженные в сводках предложений, поступивших по результатам проведения публичных консультаций.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27. В ходе анализа обоснованности выбора предлагаемого правового регулирования уполномоченный орган формирует мнение относительно рассмотрения возможных вариантов правового регулирования выявленной проблемы,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отношений.</w:t>
      </w:r>
    </w:p>
    <w:p w:rsidR="008B40B1" w:rsidRDefault="008B40B1">
      <w:pPr>
        <w:pStyle w:val="ConsPlusNormal"/>
        <w:spacing w:before="220"/>
        <w:ind w:firstLine="540"/>
        <w:jc w:val="both"/>
      </w:pPr>
      <w:bookmarkStart w:id="3" w:name="P96"/>
      <w:bookmarkEnd w:id="3"/>
      <w:r>
        <w:t>28. При оценке эффективности предложенных вариантов правового регулирования уполномоченный орган обращает внимание на следующие основные сведения, содержащиеся в соответствующих разделах сводного отчета: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точность формулировки выявленной проблемы;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обоснованность качественного и количественного определения потенциальных адресатов предлагаемого правового регулирования;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определение целей предлагаемого правового регулирования;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практическая реализуемость заявленных целей предлагаемого правового регулирования;</w:t>
      </w:r>
    </w:p>
    <w:p w:rsidR="008B40B1" w:rsidRDefault="008B40B1">
      <w:pPr>
        <w:pStyle w:val="ConsPlusNormal"/>
        <w:spacing w:before="220"/>
        <w:ind w:firstLine="540"/>
        <w:jc w:val="both"/>
      </w:pPr>
      <w:proofErr w:type="spellStart"/>
      <w:r>
        <w:t>верифицируемость</w:t>
      </w:r>
      <w:proofErr w:type="spellEnd"/>
      <w:r>
        <w:t xml:space="preserve"> показателей достижения целей предлагаемого правового регулирования и возможность последующего мониторинга их достижения;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 xml:space="preserve">корректность оценки органом-разработчиком дополнительных расходов и доходов </w:t>
      </w:r>
      <w:r>
        <w:lastRenderedPageBreak/>
        <w:t>потенциальных адресатов предлагаемого правового регулирования и местного бюджета, связанных с введением предлагаемого правового регулирования.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29. Заключение об оценке регулирующего воздействия структурно может включать в себя вводную, описательную, мотивировочную и заключительную (итоговую) части.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Во вводной части заключения об оценке регулирующего воздействия рекомендуется указывать наименования проекта муниципального нормативного правового акта и органа-разработчика, приводить краткие сведения о проведенных в рамках процедуры ОРВ мероприятиях и их сроках.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В описательной части заключения об оценке регулирующего воздействия рекомендуется представить основные положения предлагаемого правового регулирования, содержащиеся в сводном отчете выводы органа-разработчика об обоснованности предлагаемого правового регулирования и результаты публичных консультаций.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 xml:space="preserve">В мотивировочной части заключения об оценке регулирующего воздействия рекомендуется излагать позицию уполномоченного органа относительно предлагаемого правового регулирования и соблюдения органом-разработчиком установленного порядка проведения процедуры ОРВ в муниципальном образовании с учетом положений </w:t>
      </w:r>
      <w:hyperlink w:anchor="P91" w:history="1">
        <w:r>
          <w:rPr>
            <w:color w:val="0000FF"/>
          </w:rPr>
          <w:t>пунктов 23</w:t>
        </w:r>
      </w:hyperlink>
      <w:r>
        <w:t xml:space="preserve"> - </w:t>
      </w:r>
      <w:hyperlink w:anchor="P96" w:history="1">
        <w:r>
          <w:rPr>
            <w:color w:val="0000FF"/>
          </w:rPr>
          <w:t>28</w:t>
        </w:r>
      </w:hyperlink>
      <w:r>
        <w:t xml:space="preserve"> настоящих Методических рекомендаций.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В мотивировочной части также осуществляется анализ ключевых выводов и результатов расчетов, представленных органом-разработчиком в соответствующих разделах сводного отчета, обобщение и оценка результатов публичных консультаций, предложения уполномоченного органа, направленные на улучшение качества проекта муниципального нормативного правового акта.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Итоговым выводом заключения об оценке регулирующего воздействия являются выводы о достаточности или недостаточности оснований для принятия решения о введении предлагаемого органом-разработчиком варианта предлагаемого правового регулирования, а также о наличии (отсутствии)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деятельности или способствующих их введению, а также положений, способствующих возникновению необоснованных расходов указанных субъектов и местных бюджетов.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30. В случае наличия обоснованных предложений уполномоченного органа, направленных на улучшение качества проекта муниципального нормативного правового акта, они также включаются в заключение об оценке регулирующего воздействия.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31. Заключение об оценке регулирующего воздействия подлежит размещению уполномоченным органом на официальном сайте.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32. В муниципальном нормативном правовом акте, устанавливающем порядок проведения процедуры ОРВ, рекомендуется установить срок, в течение которого уполномоченный орган размещает заключение об оценке регулирующего воздействия на официальном сайте. Рекомендуется установить данный срок не более 3 рабочих дней со дня его подготовки.</w:t>
      </w:r>
    </w:p>
    <w:p w:rsidR="008B40B1" w:rsidRDefault="008B40B1">
      <w:pPr>
        <w:pStyle w:val="ConsPlusNormal"/>
        <w:ind w:firstLine="540"/>
        <w:jc w:val="both"/>
      </w:pPr>
    </w:p>
    <w:p w:rsidR="008B40B1" w:rsidRDefault="008B40B1">
      <w:pPr>
        <w:pStyle w:val="ConsPlusNormal"/>
        <w:jc w:val="center"/>
        <w:outlineLvl w:val="1"/>
      </w:pPr>
      <w:r>
        <w:t>IV. Организация и проведение экспертизы муниципальных</w:t>
      </w:r>
    </w:p>
    <w:p w:rsidR="008B40B1" w:rsidRDefault="008B40B1">
      <w:pPr>
        <w:pStyle w:val="ConsPlusNormal"/>
        <w:jc w:val="center"/>
      </w:pPr>
      <w:r>
        <w:t>нормативных правовых актов</w:t>
      </w:r>
    </w:p>
    <w:p w:rsidR="008B40B1" w:rsidRDefault="008B40B1">
      <w:pPr>
        <w:pStyle w:val="ConsPlusNormal"/>
        <w:ind w:firstLine="540"/>
        <w:jc w:val="both"/>
      </w:pPr>
    </w:p>
    <w:p w:rsidR="008B40B1" w:rsidRDefault="008B40B1">
      <w:pPr>
        <w:pStyle w:val="ConsPlusNormal"/>
        <w:ind w:firstLine="540"/>
        <w:jc w:val="both"/>
      </w:pPr>
      <w:r>
        <w:t xml:space="preserve">33. Экспертиза муниципальных нормативных правовых актов проводится уполномоченным органом в отношении действующих муниципальных нормативных правовых актов в целях оценки достижения заявленных в ходе их разработки и принятия целей регулирования, эффективности предложенного способа правового регулирования, оценки фактических положительных и </w:t>
      </w:r>
      <w:r>
        <w:lastRenderedPageBreak/>
        <w:t>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34. Экспертиза проводится в отношении муниципальных нормативных правовых актов,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35. Экспертизу рекомендуется проводить на основании утверждаемого уполномоченным органом плана. В план включаются муниципальные нормативные правовые акты, в отношении которых имеются сведения, указывающие, что положения муниципального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36. Данные сведения могут быть получены уполномоченным органом самостоятельно в связи с осуществлением функций по вопросам местного значения и нормативно-правовому регулированию в установленной сфере деятельности, а также в результате рассмотрения предложений о проведении экспертизы, поступивших в уполномоченный орган от: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а) органов государственной власти субъектов Российской Федерации;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б) органов местного самоуправления;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в) субъектов предпринимательской и инвестиционной деятельности, ассоциаций и союзов, представляющих их интересы;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г) иных лиц.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37. План рекомендуется утверждать на год и размещать на официальном сайте.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38. В муниципальном нормативном правовом акте, регламентирующем порядок проведения экспертизы, рекомендуется закрепить сроки проведения экспертизы, которые следует устанавливать в размере, не превышающем двух месяцев.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39. Срок проведения экспертизы при необходимости может быть продлен уполномоченным органом, но не более чем на один месяц.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40. В ходе экспертизы проводятся публичные консультации, исследование муниципального нормативного правового акта на предмет наличия положений, необоснованно затрудняющих осуществление предпринимательской и инвестиционной деятельности, и составляется мотивированное заключение об экспертизе.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41. Рекомендуется установить срок проведения публичных консультаций в размере 15 рабочих дней со дня, установленного для начала экспертизы.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42. По результатам исследования уполномоченным органом составляется заключение об экспертизе, которое размещается на официальном сайте.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>43. В муниципальном нормативном правовом акте, регламентирующем порядок проведения экспертизы, рекомендуется закрепить механизмы учета выводов, содержащихся в заключении об экспертизе (обязательный учет данных выводов, специальные процедуры урегулирования разногласий по возникшим в ходе экспертизы спорным вопросам или иные механизмы).</w:t>
      </w:r>
    </w:p>
    <w:p w:rsidR="008B40B1" w:rsidRDefault="008B40B1">
      <w:pPr>
        <w:pStyle w:val="ConsPlusNormal"/>
        <w:spacing w:before="220"/>
        <w:ind w:firstLine="540"/>
        <w:jc w:val="both"/>
      </w:pPr>
      <w:r>
        <w:t xml:space="preserve">44. По результатам экспертизы уполномоченный орган в случае выявления в муниципальном нормативном правовом акте положений, необоснованно затрудняющих осуществление предпринимательской и инвестиционной деятельности, вносит в орган местного </w:t>
      </w:r>
      <w:r>
        <w:lastRenderedPageBreak/>
        <w:t>самоуправления, принявший муниципальный нормативный правовой акт, предложение об отмене или изменении муниципального нормативного правового акта или его отдельных положений, необоснованно затрудняющих ведение предпринимательской и инвестиционной деятельности.</w:t>
      </w:r>
    </w:p>
    <w:p w:rsidR="008B40B1" w:rsidRDefault="008B40B1">
      <w:pPr>
        <w:pStyle w:val="ConsPlusNormal"/>
        <w:ind w:firstLine="540"/>
        <w:jc w:val="both"/>
      </w:pPr>
    </w:p>
    <w:p w:rsidR="008B40B1" w:rsidRDefault="008B40B1">
      <w:pPr>
        <w:pStyle w:val="ConsPlusNormal"/>
        <w:ind w:firstLine="540"/>
        <w:jc w:val="both"/>
      </w:pPr>
    </w:p>
    <w:p w:rsidR="008B40B1" w:rsidRDefault="008B40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1F57" w:rsidRDefault="00394F86"/>
    <w:sectPr w:rsidR="00A81F57" w:rsidSect="0045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0B1"/>
    <w:rsid w:val="00394F86"/>
    <w:rsid w:val="008B40B1"/>
    <w:rsid w:val="00A75C10"/>
    <w:rsid w:val="00E8081E"/>
    <w:rsid w:val="00EC3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40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6EFFE1421412C7C7736A280115BD61AA3394252E0D0128609D2574A46143387770BBBDF54626919432BDA15841C91B09FDBC4243RFV3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6EFFE1421412C7C7736A280115BD61AA3394252E0D0128609D2574A46143387770BBBDF54926919432BDA15841C91B09FDBC4243RFV3F" TargetMode="External"/><Relationship Id="rId12" Type="http://schemas.openxmlformats.org/officeDocument/2006/relationships/hyperlink" Target="consultantplus://offline/ref=DE6EFFE1421412C7C7736A280115BD61AB369722210E0128609D2574A46143387770BBBFF24128CDC27DBCFD1E14DA190CFDBE475FF1B44FREV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6EFFE1421412C7C7736A280115BD61AA3394252E0D0128609D2574A46143387770BBBDF54626919432BDA15841C91B09FDBC4243RFV3F" TargetMode="External"/><Relationship Id="rId11" Type="http://schemas.openxmlformats.org/officeDocument/2006/relationships/hyperlink" Target="consultantplus://offline/ref=DE6EFFE1421412C7C7736A280115BD61AB369722210E0128609D2574A46143387770BBBFF2412DC5CC7DBCFD1E14DA190CFDBE475FF1B44FREVDF" TargetMode="External"/><Relationship Id="rId5" Type="http://schemas.openxmlformats.org/officeDocument/2006/relationships/hyperlink" Target="consultantplus://offline/ref=DE6EFFE1421412C7C7736A280115BD61A83F9421290B0128609D2574A46143386570E3B3F04133C5C068EAAC58R4V1F" TargetMode="External"/><Relationship Id="rId10" Type="http://schemas.openxmlformats.org/officeDocument/2006/relationships/hyperlink" Target="consultantplus://offline/ref=DE6EFFE1421412C7C7736A280115BD61AA3394252E0D0128609D2574A46143387770BBBFF2412EC7C07DBCFD1E14DA190CFDBE475FF1B44FREVD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E6EFFE1421412C7C7736A280115BD61AA3394252E0D0128609D2574A46143387770BBBDF54926919432BDA15841C91B09FDBC4243RFV3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3836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Наталья Александровна</dc:creator>
  <cp:lastModifiedBy>Кузнецова АВ</cp:lastModifiedBy>
  <cp:revision>2</cp:revision>
  <dcterms:created xsi:type="dcterms:W3CDTF">2024-12-05T05:56:00Z</dcterms:created>
  <dcterms:modified xsi:type="dcterms:W3CDTF">2024-12-05T05:56:00Z</dcterms:modified>
</cp:coreProperties>
</file>