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="00AD673D">
        <w:rPr>
          <w:rFonts w:ascii="Times New Roman" w:hAnsi="Times New Roman" w:cs="Times New Roman"/>
          <w:sz w:val="28"/>
          <w:szCs w:val="28"/>
        </w:rPr>
        <w:t>2</w:t>
      </w:r>
      <w:r w:rsidR="00C72F40">
        <w:rPr>
          <w:rFonts w:ascii="Times New Roman" w:hAnsi="Times New Roman" w:cs="Times New Roman"/>
          <w:sz w:val="28"/>
          <w:szCs w:val="28"/>
        </w:rPr>
        <w:t>1</w:t>
      </w:r>
      <w:r w:rsidRPr="00594FA1">
        <w:rPr>
          <w:rFonts w:ascii="Times New Roman" w:hAnsi="Times New Roman" w:cs="Times New Roman"/>
          <w:sz w:val="28"/>
          <w:szCs w:val="28"/>
        </w:rPr>
        <w:t xml:space="preserve"> год</w:t>
      </w:r>
      <w:r w:rsidR="00AD673D">
        <w:rPr>
          <w:rFonts w:ascii="Times New Roman" w:hAnsi="Times New Roman" w:cs="Times New Roman"/>
          <w:sz w:val="28"/>
          <w:szCs w:val="28"/>
        </w:rPr>
        <w:t xml:space="preserve"> </w:t>
      </w:r>
      <w:r w:rsidRPr="00594FA1">
        <w:rPr>
          <w:rFonts w:ascii="Times New Roman" w:hAnsi="Times New Roman" w:cs="Times New Roman"/>
          <w:sz w:val="28"/>
          <w:szCs w:val="28"/>
        </w:rPr>
        <w:t>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Финансовым </w:t>
      </w:r>
      <w:r w:rsidR="00414985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 xml:space="preserve">, установленных решениями Думы Дальнереченского городского округа </w:t>
      </w:r>
      <w:r w:rsidR="00E25DEF">
        <w:rPr>
          <w:rFonts w:ascii="Times New Roman" w:hAnsi="Times New Roman" w:cs="Times New Roman"/>
          <w:sz w:val="26"/>
          <w:szCs w:val="26"/>
        </w:rPr>
        <w:t>в</w:t>
      </w:r>
      <w:r w:rsidRPr="004A446D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B3143">
        <w:rPr>
          <w:rFonts w:ascii="Times New Roman" w:hAnsi="Times New Roman" w:cs="Times New Roman"/>
          <w:sz w:val="26"/>
          <w:szCs w:val="26"/>
        </w:rPr>
        <w:t>у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 w:rsidR="007A57ED">
        <w:rPr>
          <w:rFonts w:ascii="Times New Roman" w:hAnsi="Times New Roman" w:cs="Times New Roman"/>
          <w:sz w:val="26"/>
          <w:szCs w:val="26"/>
        </w:rPr>
        <w:t xml:space="preserve"> лиц;</w:t>
      </w:r>
    </w:p>
    <w:p w:rsidR="007A57ED" w:rsidRDefault="007A57ED" w:rsidP="007A57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9 года №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93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за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3F30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</w:t>
      </w:r>
      <w:r w:rsidR="00F24A21">
        <w:rPr>
          <w:rFonts w:ascii="Times New Roman" w:hAnsi="Times New Roman" w:cs="Times New Roman"/>
          <w:sz w:val="26"/>
          <w:szCs w:val="26"/>
        </w:rPr>
        <w:t>20</w:t>
      </w:r>
      <w:r w:rsidR="003F308D">
        <w:rPr>
          <w:rFonts w:ascii="Times New Roman" w:hAnsi="Times New Roman" w:cs="Times New Roman"/>
          <w:sz w:val="26"/>
          <w:szCs w:val="26"/>
        </w:rPr>
        <w:t>20</w:t>
      </w:r>
      <w:r w:rsidR="00F24A21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B789E">
        <w:rPr>
          <w:rFonts w:ascii="Times New Roman" w:eastAsia="Times New Roman" w:hAnsi="Times New Roman" w:cs="Times New Roman"/>
          <w:sz w:val="26"/>
          <w:szCs w:val="26"/>
        </w:rPr>
        <w:t xml:space="preserve">2021г., 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прогноз 202</w:t>
      </w:r>
      <w:r w:rsidR="003B789E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3B789E">
        <w:rPr>
          <w:rFonts w:ascii="Times New Roman" w:eastAsia="Times New Roman" w:hAnsi="Times New Roman" w:cs="Times New Roman"/>
          <w:sz w:val="26"/>
          <w:szCs w:val="26"/>
        </w:rPr>
        <w:t>3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г.г., 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299" w:type="dxa"/>
        <w:tblInd w:w="108" w:type="dxa"/>
        <w:tblLook w:val="04A0"/>
      </w:tblPr>
      <w:tblGrid>
        <w:gridCol w:w="4536"/>
        <w:gridCol w:w="993"/>
        <w:gridCol w:w="992"/>
        <w:gridCol w:w="908"/>
        <w:gridCol w:w="935"/>
        <w:gridCol w:w="935"/>
      </w:tblGrid>
      <w:tr w:rsidR="005B3131" w:rsidTr="005B3131">
        <w:tc>
          <w:tcPr>
            <w:tcW w:w="4536" w:type="dxa"/>
          </w:tcPr>
          <w:p w:rsidR="005B3131" w:rsidRDefault="005B3131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3" w:type="dxa"/>
          </w:tcPr>
          <w:p w:rsidR="005B3131" w:rsidRDefault="005B3131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2019г.</w:t>
            </w:r>
          </w:p>
        </w:tc>
        <w:tc>
          <w:tcPr>
            <w:tcW w:w="992" w:type="dxa"/>
          </w:tcPr>
          <w:p w:rsidR="005B3131" w:rsidRDefault="005B3131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2020г.</w:t>
            </w:r>
          </w:p>
        </w:tc>
        <w:tc>
          <w:tcPr>
            <w:tcW w:w="908" w:type="dxa"/>
          </w:tcPr>
          <w:p w:rsidR="005B3131" w:rsidRDefault="005B3131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2021г.</w:t>
            </w:r>
          </w:p>
        </w:tc>
        <w:tc>
          <w:tcPr>
            <w:tcW w:w="935" w:type="dxa"/>
          </w:tcPr>
          <w:p w:rsidR="005B3131" w:rsidRDefault="005B3131" w:rsidP="00B7634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2022г.</w:t>
            </w:r>
          </w:p>
        </w:tc>
        <w:tc>
          <w:tcPr>
            <w:tcW w:w="935" w:type="dxa"/>
          </w:tcPr>
          <w:p w:rsidR="005B3131" w:rsidRDefault="003B789E" w:rsidP="00B7634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2023г.</w:t>
            </w:r>
          </w:p>
        </w:tc>
      </w:tr>
      <w:tr w:rsidR="005B3131" w:rsidRPr="00D54203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5B3131" w:rsidRPr="00AA666F" w:rsidRDefault="005B3131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8" w:type="dxa"/>
          </w:tcPr>
          <w:p w:rsidR="005B3131" w:rsidRPr="00AA666F" w:rsidRDefault="005B3131" w:rsidP="006A383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A383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" w:type="dxa"/>
          </w:tcPr>
          <w:p w:rsidR="005B3131" w:rsidRPr="00AA666F" w:rsidRDefault="005B3131" w:rsidP="006A383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A383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" w:type="dxa"/>
          </w:tcPr>
          <w:p w:rsidR="005B3131" w:rsidRPr="00AA666F" w:rsidRDefault="006A383D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1" w:rsidRPr="00AA666F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5B3131" w:rsidRPr="00AC2693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AC2693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AA666F" w:rsidRDefault="00AC2693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 деятельности)</w:t>
            </w:r>
          </w:p>
        </w:tc>
        <w:tc>
          <w:tcPr>
            <w:tcW w:w="993" w:type="dxa"/>
          </w:tcPr>
          <w:p w:rsidR="005B3131" w:rsidRPr="00AA666F" w:rsidRDefault="005B3131" w:rsidP="00AA666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92" w:type="dxa"/>
          </w:tcPr>
          <w:p w:rsidR="005B3131" w:rsidRPr="00AA666F" w:rsidRDefault="005B3131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" w:type="dxa"/>
          </w:tcPr>
          <w:p w:rsidR="005B3131" w:rsidRPr="00AC2693" w:rsidRDefault="005B3131" w:rsidP="00AC269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2693" w:rsidRP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35" w:type="dxa"/>
          </w:tcPr>
          <w:p w:rsidR="005B3131" w:rsidRPr="00AC2693" w:rsidRDefault="005B3131" w:rsidP="003D523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5237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35" w:type="dxa"/>
          </w:tcPr>
          <w:p w:rsidR="005B3131" w:rsidRPr="00AA666F" w:rsidRDefault="00AC2693" w:rsidP="003D523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5237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93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08" w:type="dxa"/>
          </w:tcPr>
          <w:p w:rsidR="005B3131" w:rsidRPr="00AA666F" w:rsidRDefault="005B3131" w:rsidP="00AC269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2693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35" w:type="dxa"/>
          </w:tcPr>
          <w:p w:rsidR="005B3131" w:rsidRPr="00AA666F" w:rsidRDefault="005B3131" w:rsidP="003D523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5237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35" w:type="dxa"/>
          </w:tcPr>
          <w:p w:rsidR="005B3131" w:rsidRPr="00AA666F" w:rsidRDefault="00257BE5" w:rsidP="003D523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5237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</w:tr>
    </w:tbl>
    <w:p w:rsidR="00043578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</w:p>
    <w:p w:rsidR="008421ED" w:rsidRPr="00115A21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- сумма налогового расхода </w:t>
      </w:r>
      <w:r w:rsidR="001D2CCF">
        <w:rPr>
          <w:rFonts w:ascii="Times New Roman" w:eastAsia="Times New Roman" w:hAnsi="Times New Roman" w:cs="Times New Roman"/>
          <w:sz w:val="26"/>
          <w:szCs w:val="26"/>
        </w:rPr>
        <w:t>2984</w:t>
      </w:r>
      <w:r w:rsidR="00EE6B91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т.р.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 социального обеспечения, финансируемые за счет средств бюджета Приморского края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 – </w:t>
      </w:r>
      <w:r w:rsidR="00AC2693">
        <w:rPr>
          <w:rFonts w:ascii="Times New Roman" w:hAnsi="Times New Roman" w:cs="Times New Roman"/>
          <w:sz w:val="26"/>
          <w:szCs w:val="26"/>
        </w:rPr>
        <w:t>2935</w:t>
      </w:r>
      <w:r w:rsidR="00755A42" w:rsidRPr="00115A21">
        <w:rPr>
          <w:sz w:val="26"/>
          <w:szCs w:val="26"/>
        </w:rPr>
        <w:t xml:space="preserve"> </w:t>
      </w:r>
      <w:r w:rsidR="00755A42" w:rsidRPr="00AC2693">
        <w:rPr>
          <w:rFonts w:ascii="Times New Roman" w:hAnsi="Times New Roman" w:cs="Times New Roman"/>
          <w:sz w:val="26"/>
          <w:szCs w:val="26"/>
        </w:rPr>
        <w:t>т.р.</w:t>
      </w:r>
      <w:r w:rsidR="00755A42" w:rsidRPr="00AC2693">
        <w:rPr>
          <w:rFonts w:ascii="Times New Roman" w:eastAsia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–</w:t>
      </w:r>
      <w:r w:rsidR="00767BCF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283F5E" w:rsidRPr="00115A21">
        <w:rPr>
          <w:rFonts w:ascii="Times New Roman" w:hAnsi="Times New Roman" w:cs="Times New Roman"/>
          <w:sz w:val="26"/>
          <w:szCs w:val="26"/>
        </w:rPr>
        <w:t>0</w:t>
      </w:r>
      <w:r w:rsidR="00732FEE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 – </w:t>
      </w:r>
      <w:r w:rsidR="001D2CCF">
        <w:rPr>
          <w:rFonts w:ascii="Times New Roman" w:eastAsia="Times New Roman" w:hAnsi="Times New Roman" w:cs="Times New Roman"/>
          <w:sz w:val="26"/>
          <w:szCs w:val="26"/>
        </w:rPr>
        <w:t>49</w:t>
      </w:r>
      <w:r w:rsidR="00744745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</w:t>
      </w:r>
      <w:r w:rsidR="008421ED" w:rsidRPr="00115A21">
        <w:rPr>
          <w:rFonts w:ascii="Times New Roman" w:eastAsia="Times New Roman" w:hAnsi="Times New Roman" w:cs="Times New Roman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 w:rsidRPr="007B3143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7B314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3A0D69" w:rsidP="009A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702AD4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9A0EF0" w:rsidRPr="00702AD4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  <w:bookmarkEnd w:id="0"/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 w:rsidRPr="00702AD4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1D2CCF" w:rsidP="001D2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1D2CCF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2984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налогового расхода целям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</w:t>
            </w:r>
            <w:r w:rsidR="005C1A38" w:rsidRPr="002E49DB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702AD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Pr="00702AD4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702AD4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обеспечения,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Приморского края</w:t>
            </w:r>
            <w:r w:rsidR="00A54C17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54D6" w:rsidRPr="00702AD4" w:rsidRDefault="00A54C17" w:rsidP="0085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 w:rsidRPr="00855273">
              <w:rPr>
                <w:rFonts w:ascii="Times New Roman" w:hAnsi="Times New Roman"/>
                <w:sz w:val="26"/>
                <w:szCs w:val="26"/>
              </w:rPr>
              <w:t>н</w:t>
            </w: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6" w:rsidRPr="00702AD4" w:rsidRDefault="009541D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9C3BC0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152 (многодетные)</w:t>
            </w:r>
            <w:r w:rsidR="00C45E74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5273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5E74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3BC0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учета многодетных) </w:t>
            </w:r>
            <w:r w:rsidR="00B15E3C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855273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702AD4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4(не показатель</w:t>
            </w:r>
            <w:r w:rsidR="00393A9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702AD4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); без учета многодетных 21/21= 1</w:t>
            </w:r>
          </w:p>
          <w:p w:rsidR="00991B47" w:rsidRPr="00702AD4" w:rsidRDefault="00991B4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льгота востребована</w:t>
            </w:r>
          </w:p>
          <w:p w:rsidR="00584302" w:rsidRPr="00702AD4" w:rsidRDefault="00584302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налоговой льготы в изменение значения показателя (индикатора) достижения целей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702AD4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налоговой льготы позволит оптимизировать встречные финансовые потоки</w:t>
            </w:r>
            <w:r w:rsidR="003621D0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 w:rsidRPr="00702AD4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Дальнереченского городского округа и (или) целей социально-экономической политики Дальнереченского городского округа, не относящихся к муниципальным 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1D2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 Дальнереченского городского округ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67BCF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55082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D2CC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 к факту 20</w:t>
            </w:r>
            <w:r w:rsidR="001D2CC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1D2CCF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2984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4249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9541D7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  <w:p w:rsidR="002B50D8" w:rsidRPr="00702AD4" w:rsidRDefault="009541D7" w:rsidP="0095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 w:rsidR="002B50D8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702AD4" w:rsidP="007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коэффициента бюджетной эффективности меньше 1, эффективность налогового расхода является низкой.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это повлияло уменьшение суммы налога, который не поступил в бюджет в связи с предоставлением льгот, на что в свою очередь повлияло снижение кадастровой стоимости земель.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52447" w:rsidP="007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 эффективности налогового расхода нео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бходимо отметить, что налоговая 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льгота 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бует пролонгации</w:t>
            </w:r>
          </w:p>
        </w:tc>
      </w:tr>
    </w:tbl>
    <w:p w:rsidR="001F227D" w:rsidRPr="00D54203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E50863" w:rsidRPr="00E50863" w:rsidRDefault="007071A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 xml:space="preserve">         Решени</w:t>
      </w:r>
      <w:r w:rsidR="00FB0911" w:rsidRPr="00E50863">
        <w:rPr>
          <w:rFonts w:ascii="Times New Roman" w:hAnsi="Times New Roman" w:cs="Times New Roman"/>
          <w:sz w:val="26"/>
          <w:szCs w:val="26"/>
        </w:rPr>
        <w:t xml:space="preserve">ем </w:t>
      </w:r>
      <w:r w:rsidRPr="00E50863">
        <w:rPr>
          <w:rFonts w:ascii="Times New Roman" w:hAnsi="Times New Roman" w:cs="Times New Roman"/>
          <w:sz w:val="26"/>
          <w:szCs w:val="26"/>
        </w:rPr>
        <w:t xml:space="preserve"> Думы Дальнереченского городского округа  </w:t>
      </w:r>
      <w:r w:rsidR="00492706" w:rsidRPr="00E50863">
        <w:rPr>
          <w:rFonts w:ascii="Times New Roman" w:hAnsi="Times New Roman" w:cs="Times New Roman"/>
          <w:sz w:val="26"/>
          <w:szCs w:val="26"/>
        </w:rPr>
        <w:t>от 15.10.2019 года № 92  «О налоге на имущество физических лиц на территории Дальнереченского городского округа»</w:t>
      </w:r>
      <w:r w:rsidRPr="00E50863">
        <w:rPr>
          <w:rFonts w:ascii="Times New Roman" w:hAnsi="Times New Roman" w:cs="Times New Roman"/>
          <w:sz w:val="26"/>
          <w:szCs w:val="26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от уплаты </w:t>
      </w:r>
      <w:r w:rsidR="00E50863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 </w:t>
      </w:r>
      <w:r w:rsidR="00E50863">
        <w:rPr>
          <w:rFonts w:ascii="Times New Roman" w:hAnsi="Times New Roman" w:cs="Times New Roman"/>
          <w:sz w:val="26"/>
          <w:szCs w:val="26"/>
        </w:rPr>
        <w:t xml:space="preserve">освобождаются многодетные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семьи.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Налоговая льгота многодетным семьям предоставляется в размере</w:t>
      </w:r>
      <w:r w:rsidR="00E5086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100 % подлежащей уплате налогоплательщиком суммы налога, в отношении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50863" w:rsidRPr="00E50863" w:rsidRDefault="00E5086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ab/>
        <w:t>При определении подлежащей уплате налогоплательщиком суммы,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>за 20</w:t>
      </w:r>
      <w:r w:rsidR="00714DD8">
        <w:rPr>
          <w:rFonts w:ascii="Times New Roman" w:hAnsi="Times New Roman" w:cs="Times New Roman"/>
          <w:sz w:val="26"/>
          <w:szCs w:val="26"/>
        </w:rPr>
        <w:t>2</w:t>
      </w:r>
      <w:r w:rsidR="00141445">
        <w:rPr>
          <w:rFonts w:ascii="Times New Roman" w:hAnsi="Times New Roman" w:cs="Times New Roman"/>
          <w:sz w:val="26"/>
          <w:szCs w:val="26"/>
        </w:rPr>
        <w:t>1</w:t>
      </w:r>
      <w:r w:rsidRPr="007D29D6">
        <w:rPr>
          <w:rFonts w:ascii="Times New Roman" w:hAnsi="Times New Roman" w:cs="Times New Roman"/>
          <w:sz w:val="26"/>
          <w:szCs w:val="26"/>
        </w:rPr>
        <w:t xml:space="preserve">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</w:t>
      </w:r>
      <w:r w:rsidR="0014144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354727">
        <w:rPr>
          <w:rFonts w:ascii="Times New Roman" w:hAnsi="Times New Roman" w:cs="Times New Roman"/>
          <w:sz w:val="26"/>
          <w:szCs w:val="26"/>
        </w:rPr>
        <w:lastRenderedPageBreak/>
        <w:t>налогоплательщиков, учтенных в базе налогового органа по категории, установленной решением Думы Дальнереченского городского округа-</w:t>
      </w:r>
      <w:r w:rsidR="00714DD8">
        <w:rPr>
          <w:rFonts w:ascii="Times New Roman" w:hAnsi="Times New Roman" w:cs="Times New Roman"/>
          <w:sz w:val="26"/>
          <w:szCs w:val="26"/>
        </w:rPr>
        <w:t xml:space="preserve"> </w:t>
      </w:r>
      <w:r w:rsidR="00141445">
        <w:rPr>
          <w:rFonts w:ascii="Times New Roman" w:hAnsi="Times New Roman" w:cs="Times New Roman"/>
          <w:sz w:val="26"/>
          <w:szCs w:val="26"/>
        </w:rPr>
        <w:t>334</w:t>
      </w:r>
      <w:r w:rsidR="0035472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714DD8" w:rsidRDefault="00714DD8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687B9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71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714DD8" w:rsidRPr="00305FB2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305FB2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1414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714D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(многодетные семьи)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1414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721FA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E47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Расчет коэффициента бюджетной эффективности  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9721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714D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47D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 факту 20</w:t>
            </w:r>
            <w:r w:rsidR="00E47D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E47D9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B50D8" w:rsidRPr="00305FB2" w:rsidRDefault="002B50D8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728BA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</w:t>
            </w:r>
            <w:r w:rsidR="00E90D42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 налогового расхода необходимо отметить, 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льгота предоставлена многодетным семьям с 2019 г. и необходима </w:t>
            </w:r>
            <w:r w:rsidR="008C10B0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пролонгаци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E669F" w:rsidRDefault="00A7551B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  <w:r w:rsidR="00D23B93">
        <w:rPr>
          <w:sz w:val="26"/>
          <w:szCs w:val="26"/>
        </w:rPr>
        <w:t>.</w:t>
      </w:r>
    </w:p>
    <w:sectPr w:rsidR="004E669F" w:rsidSect="005E4EE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63" w:rsidRDefault="00675063" w:rsidP="00FF1337">
      <w:pPr>
        <w:spacing w:after="0" w:line="240" w:lineRule="auto"/>
      </w:pPr>
      <w:r>
        <w:separator/>
      </w:r>
    </w:p>
  </w:endnote>
  <w:endnote w:type="continuationSeparator" w:id="1">
    <w:p w:rsidR="00675063" w:rsidRDefault="00675063" w:rsidP="00F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2249A6">
        <w:pPr>
          <w:pStyle w:val="a8"/>
          <w:jc w:val="center"/>
        </w:pPr>
        <w:fldSimple w:instr=" PAGE   \* MERGEFORMAT ">
          <w:r w:rsidR="00393A9E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63" w:rsidRDefault="00675063" w:rsidP="00FF1337">
      <w:pPr>
        <w:spacing w:after="0" w:line="240" w:lineRule="auto"/>
      </w:pPr>
      <w:r>
        <w:separator/>
      </w:r>
    </w:p>
  </w:footnote>
  <w:footnote w:type="continuationSeparator" w:id="1">
    <w:p w:rsidR="00675063" w:rsidRDefault="00675063" w:rsidP="00F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77FC4CF2"/>
    <w:multiLevelType w:val="hybridMultilevel"/>
    <w:tmpl w:val="1376FE86"/>
    <w:lvl w:ilvl="0" w:tplc="AF74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5EA"/>
    <w:rsid w:val="00004B2B"/>
    <w:rsid w:val="0000567A"/>
    <w:rsid w:val="0000724A"/>
    <w:rsid w:val="00012C3E"/>
    <w:rsid w:val="00017BB7"/>
    <w:rsid w:val="00021033"/>
    <w:rsid w:val="00026BDD"/>
    <w:rsid w:val="00041003"/>
    <w:rsid w:val="00041CC6"/>
    <w:rsid w:val="00043578"/>
    <w:rsid w:val="000436B4"/>
    <w:rsid w:val="0006110E"/>
    <w:rsid w:val="00061125"/>
    <w:rsid w:val="00071D06"/>
    <w:rsid w:val="00094DC6"/>
    <w:rsid w:val="00115A21"/>
    <w:rsid w:val="00141445"/>
    <w:rsid w:val="00142D1D"/>
    <w:rsid w:val="001436C1"/>
    <w:rsid w:val="00144E6D"/>
    <w:rsid w:val="00162418"/>
    <w:rsid w:val="00191EC6"/>
    <w:rsid w:val="001D2CCF"/>
    <w:rsid w:val="001E2359"/>
    <w:rsid w:val="001E62F3"/>
    <w:rsid w:val="001F227D"/>
    <w:rsid w:val="002228C2"/>
    <w:rsid w:val="002249A6"/>
    <w:rsid w:val="00230E61"/>
    <w:rsid w:val="00257BE5"/>
    <w:rsid w:val="00283F5E"/>
    <w:rsid w:val="0028431D"/>
    <w:rsid w:val="002B50D8"/>
    <w:rsid w:val="002D5457"/>
    <w:rsid w:val="002E49DB"/>
    <w:rsid w:val="002F452C"/>
    <w:rsid w:val="00303846"/>
    <w:rsid w:val="00305FB2"/>
    <w:rsid w:val="00325018"/>
    <w:rsid w:val="00354727"/>
    <w:rsid w:val="003621D0"/>
    <w:rsid w:val="003642FB"/>
    <w:rsid w:val="00365460"/>
    <w:rsid w:val="00377B7A"/>
    <w:rsid w:val="00380D83"/>
    <w:rsid w:val="00393A9E"/>
    <w:rsid w:val="003970C4"/>
    <w:rsid w:val="003A0D69"/>
    <w:rsid w:val="003A1F54"/>
    <w:rsid w:val="003B3950"/>
    <w:rsid w:val="003B789E"/>
    <w:rsid w:val="003D5237"/>
    <w:rsid w:val="003F308D"/>
    <w:rsid w:val="00414985"/>
    <w:rsid w:val="00430625"/>
    <w:rsid w:val="0043431B"/>
    <w:rsid w:val="0044790B"/>
    <w:rsid w:val="004638F7"/>
    <w:rsid w:val="00492706"/>
    <w:rsid w:val="004A446D"/>
    <w:rsid w:val="004B2D16"/>
    <w:rsid w:val="004E669F"/>
    <w:rsid w:val="004F5E42"/>
    <w:rsid w:val="005010C5"/>
    <w:rsid w:val="00513CF5"/>
    <w:rsid w:val="00515429"/>
    <w:rsid w:val="00531E93"/>
    <w:rsid w:val="00540C33"/>
    <w:rsid w:val="005413AF"/>
    <w:rsid w:val="00584302"/>
    <w:rsid w:val="00594FA1"/>
    <w:rsid w:val="005B3131"/>
    <w:rsid w:val="005C1A38"/>
    <w:rsid w:val="005D0B11"/>
    <w:rsid w:val="005D6C61"/>
    <w:rsid w:val="005E4EE5"/>
    <w:rsid w:val="005F4732"/>
    <w:rsid w:val="00642380"/>
    <w:rsid w:val="006728BA"/>
    <w:rsid w:val="00675063"/>
    <w:rsid w:val="0068037A"/>
    <w:rsid w:val="0069531E"/>
    <w:rsid w:val="006A3819"/>
    <w:rsid w:val="006A383D"/>
    <w:rsid w:val="006B7AA8"/>
    <w:rsid w:val="006E5832"/>
    <w:rsid w:val="00702AD4"/>
    <w:rsid w:val="007071A3"/>
    <w:rsid w:val="00714DD8"/>
    <w:rsid w:val="00732FEE"/>
    <w:rsid w:val="00744745"/>
    <w:rsid w:val="00746649"/>
    <w:rsid w:val="00755A42"/>
    <w:rsid w:val="00767BCF"/>
    <w:rsid w:val="007A55F7"/>
    <w:rsid w:val="007A57ED"/>
    <w:rsid w:val="007A630A"/>
    <w:rsid w:val="007B3143"/>
    <w:rsid w:val="007B65EA"/>
    <w:rsid w:val="007C020F"/>
    <w:rsid w:val="007C53E5"/>
    <w:rsid w:val="007D29D6"/>
    <w:rsid w:val="007D5ED1"/>
    <w:rsid w:val="00833DCE"/>
    <w:rsid w:val="008421ED"/>
    <w:rsid w:val="00852447"/>
    <w:rsid w:val="00855273"/>
    <w:rsid w:val="00882B7F"/>
    <w:rsid w:val="00884265"/>
    <w:rsid w:val="00892284"/>
    <w:rsid w:val="008B39BC"/>
    <w:rsid w:val="008C10B0"/>
    <w:rsid w:val="008D39F6"/>
    <w:rsid w:val="0091541F"/>
    <w:rsid w:val="009236EE"/>
    <w:rsid w:val="00947F45"/>
    <w:rsid w:val="009541D7"/>
    <w:rsid w:val="009721FA"/>
    <w:rsid w:val="00981550"/>
    <w:rsid w:val="00991B47"/>
    <w:rsid w:val="009A0EF0"/>
    <w:rsid w:val="009A25C2"/>
    <w:rsid w:val="009A5097"/>
    <w:rsid w:val="009C3BC0"/>
    <w:rsid w:val="009E4900"/>
    <w:rsid w:val="009F424E"/>
    <w:rsid w:val="00A07F79"/>
    <w:rsid w:val="00A11D0C"/>
    <w:rsid w:val="00A32BBF"/>
    <w:rsid w:val="00A54C17"/>
    <w:rsid w:val="00A7551B"/>
    <w:rsid w:val="00A766D8"/>
    <w:rsid w:val="00A94355"/>
    <w:rsid w:val="00AA666F"/>
    <w:rsid w:val="00AC2693"/>
    <w:rsid w:val="00AD673D"/>
    <w:rsid w:val="00AE102F"/>
    <w:rsid w:val="00AE5A90"/>
    <w:rsid w:val="00B00FA4"/>
    <w:rsid w:val="00B15E3C"/>
    <w:rsid w:val="00B2712B"/>
    <w:rsid w:val="00B4370C"/>
    <w:rsid w:val="00B46D49"/>
    <w:rsid w:val="00B7634E"/>
    <w:rsid w:val="00BD54D6"/>
    <w:rsid w:val="00C40D56"/>
    <w:rsid w:val="00C42805"/>
    <w:rsid w:val="00C45E74"/>
    <w:rsid w:val="00C55082"/>
    <w:rsid w:val="00C60D28"/>
    <w:rsid w:val="00C72F40"/>
    <w:rsid w:val="00CA43F9"/>
    <w:rsid w:val="00CC2705"/>
    <w:rsid w:val="00CF1150"/>
    <w:rsid w:val="00D23020"/>
    <w:rsid w:val="00D23B93"/>
    <w:rsid w:val="00D34C96"/>
    <w:rsid w:val="00D54203"/>
    <w:rsid w:val="00D80038"/>
    <w:rsid w:val="00D80614"/>
    <w:rsid w:val="00D921F0"/>
    <w:rsid w:val="00D94021"/>
    <w:rsid w:val="00DB1614"/>
    <w:rsid w:val="00DD51C9"/>
    <w:rsid w:val="00DE4EBA"/>
    <w:rsid w:val="00E2150C"/>
    <w:rsid w:val="00E25DEF"/>
    <w:rsid w:val="00E47D98"/>
    <w:rsid w:val="00E50863"/>
    <w:rsid w:val="00E6693E"/>
    <w:rsid w:val="00E8416B"/>
    <w:rsid w:val="00E87112"/>
    <w:rsid w:val="00E87A6C"/>
    <w:rsid w:val="00E90D42"/>
    <w:rsid w:val="00EA2534"/>
    <w:rsid w:val="00ED24B5"/>
    <w:rsid w:val="00EE6B91"/>
    <w:rsid w:val="00F03B7A"/>
    <w:rsid w:val="00F156D1"/>
    <w:rsid w:val="00F24A21"/>
    <w:rsid w:val="00F37500"/>
    <w:rsid w:val="00F934D8"/>
    <w:rsid w:val="00FB0911"/>
    <w:rsid w:val="00FF133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42D1D"/>
    <w:rPr>
      <w:color w:val="0000FF"/>
      <w:u w:val="single"/>
    </w:rPr>
  </w:style>
  <w:style w:type="character" w:customStyle="1" w:styleId="blk">
    <w:name w:val="blk"/>
    <w:basedOn w:val="a0"/>
    <w:rsid w:val="0014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4BD6-5B06-40A8-8D69-1CCB2F4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7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</dc:creator>
  <cp:lastModifiedBy>Суровцева</cp:lastModifiedBy>
  <cp:revision>57</cp:revision>
  <cp:lastPrinted>2022-06-29T10:26:00Z</cp:lastPrinted>
  <dcterms:created xsi:type="dcterms:W3CDTF">2022-06-27T05:36:00Z</dcterms:created>
  <dcterms:modified xsi:type="dcterms:W3CDTF">2023-03-29T06:39:00Z</dcterms:modified>
</cp:coreProperties>
</file>