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ind w:hanging="0" w:left="0" w:right="-85"/>
        <w:jc w:val="center"/>
      </w:pPr>
      <w:r>
        <w:rPr/>
        <w:drawing>
          <wp:inline distB="0" distL="0" distR="0" distT="0">
            <wp:extent cx="523875" cy="685800"/>
            <wp:effectExtent b="0" l="0" r="0" t="0"/>
            <wp:docPr descr="A description...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description...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hd w:fill="FFFFFF" w:val="clear"/>
        <w:spacing w:after="200" w:before="96" w:line="403" w:lineRule="exact"/>
        <w:ind w:hanging="0" w:left="0" w:right="-85"/>
        <w:jc w:val="center"/>
      </w:pPr>
      <w:r>
        <w:rPr>
          <w:rFonts w:ascii="Times New Roman" w:cs="Times New Roman" w:hAnsi="Times New Roman"/>
          <w:b/>
          <w:bCs/>
          <w:color w:val="000000"/>
          <w:spacing w:val="-7"/>
          <w:sz w:val="35"/>
          <w:szCs w:val="35"/>
        </w:rPr>
        <w:t>КОНТРОЛЬНО-СЧЕТНАЯ ПАЛАТА</w:t>
      </w:r>
    </w:p>
    <w:p>
      <w:pPr>
        <w:pStyle w:val="style0"/>
        <w:shd w:fill="FFFFFF" w:val="clear"/>
        <w:spacing w:after="200" w:before="96" w:line="403" w:lineRule="exact"/>
        <w:ind w:hanging="0" w:left="0" w:right="-85"/>
        <w:jc w:val="center"/>
      </w:pPr>
      <w:r>
        <w:rPr>
          <w:rFonts w:ascii="Times New Roman" w:cs="Times New Roman" w:hAnsi="Times New Roman"/>
          <w:b/>
          <w:bCs/>
          <w:color w:val="000000"/>
          <w:spacing w:val="-7"/>
          <w:sz w:val="35"/>
          <w:szCs w:val="35"/>
        </w:rPr>
        <w:t>ДАЛЬНЕРЕЧЕНСКОГО ГОРОДСКОГО ОКРУГА</w:t>
      </w:r>
    </w:p>
    <w:p>
      <w:pPr>
        <w:pStyle w:val="style0"/>
        <w:shd w:fill="FFFFFF" w:val="clear"/>
        <w:spacing w:after="200" w:before="96" w:line="403" w:lineRule="exact"/>
        <w:ind w:hanging="0" w:left="0" w:right="-85"/>
      </w:pPr>
      <w:r>
        <w:rPr>
          <w:rFonts w:ascii="Times New Roman" w:cs="Times New Roman" w:hAnsi="Times New Roman"/>
          <w:bCs/>
          <w:color w:val="000000"/>
          <w:spacing w:val="-7"/>
          <w:sz w:val="28"/>
          <w:szCs w:val="28"/>
        </w:rPr>
      </w:r>
    </w:p>
    <w:p>
      <w:pPr>
        <w:pStyle w:val="style0"/>
        <w:shd w:fill="FFFFFF" w:val="clear"/>
        <w:tabs>
          <w:tab w:leader="none" w:pos="567" w:val="left"/>
        </w:tabs>
        <w:spacing w:after="200" w:before="96" w:line="403" w:lineRule="exact"/>
        <w:ind w:hanging="0" w:left="0" w:right="-85"/>
      </w:pPr>
      <w:r>
        <w:rPr>
          <w:rFonts w:ascii="Times New Roman" w:cs="Times New Roman" w:hAnsi="Times New Roman"/>
          <w:bCs/>
          <w:color w:val="000000"/>
          <w:spacing w:val="-7"/>
          <w:sz w:val="28"/>
          <w:szCs w:val="28"/>
          <w:u w:val="single"/>
        </w:rPr>
        <w:t>28.12.2015</w:t>
      </w:r>
      <w:r>
        <w:rPr>
          <w:rFonts w:ascii="Times New Roman" w:cs="Times New Roman" w:hAnsi="Times New Roman"/>
          <w:bCs/>
          <w:color w:val="000000"/>
          <w:spacing w:val="-7"/>
          <w:sz w:val="28"/>
          <w:szCs w:val="28"/>
        </w:rPr>
        <w:t xml:space="preserve">                                                                                                       № </w:t>
      </w:r>
      <w:r>
        <w:rPr>
          <w:rFonts w:ascii="Times New Roman" w:cs="Times New Roman" w:hAnsi="Times New Roman"/>
          <w:bCs/>
          <w:color w:val="000000"/>
          <w:spacing w:val="-7"/>
          <w:sz w:val="28"/>
          <w:szCs w:val="28"/>
          <w:u w:val="single"/>
        </w:rPr>
        <w:t>01-38/138</w:t>
      </w:r>
    </w:p>
    <w:p>
      <w:pPr>
        <w:pStyle w:val="style0"/>
        <w:shd w:fill="FFFFFF" w:val="clear"/>
        <w:spacing w:after="200" w:before="28" w:line="100" w:lineRule="atLeast"/>
        <w:ind w:hanging="0" w:left="0" w:right="-346"/>
        <w:jc w:val="center"/>
      </w:pPr>
      <w:r>
        <w:rPr>
          <w:rFonts w:ascii="Times New Roman" w:cs="Times New Roman" w:hAnsi="Times New Roman"/>
          <w:b/>
          <w:sz w:val="32"/>
          <w:szCs w:val="32"/>
        </w:rPr>
        <w:t xml:space="preserve">З а к л ю ч е н и е </w:t>
      </w:r>
    </w:p>
    <w:p>
      <w:pPr>
        <w:pStyle w:val="style0"/>
        <w:shd w:fill="FFFFFF" w:val="clear"/>
        <w:spacing w:after="0" w:before="0" w:line="100" w:lineRule="atLeast"/>
        <w:ind w:hanging="0" w:left="0" w:right="-346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по результатам экспертно-аналитического мероприятия по вопросу</w:t>
      </w:r>
    </w:p>
    <w:p>
      <w:pPr>
        <w:pStyle w:val="style0"/>
        <w:shd w:fill="FFFFFF" w:val="clear"/>
        <w:spacing w:after="0" w:before="0" w:line="100" w:lineRule="atLeast"/>
        <w:ind w:hanging="0" w:left="0" w:right="-346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планирования бюджетных ассигнований на выполнение работ (услуг) связанных с вывозом твёрдых бытовых отходов в 2016 году</w:t>
      </w:r>
    </w:p>
    <w:p>
      <w:pPr>
        <w:pStyle w:val="style0"/>
        <w:shd w:fill="FFFFFF" w:val="clear"/>
        <w:spacing w:after="0" w:before="0" w:line="100" w:lineRule="atLeast"/>
        <w:ind w:hanging="0" w:left="0" w:right="-346"/>
        <w:jc w:val="center"/>
      </w:pPr>
      <w:r>
        <w:rPr>
          <w:rFonts w:ascii="Times New Roman" w:cs="Times New Roman" w:hAnsi="Times New Roman"/>
          <w:b/>
          <w:sz w:val="28"/>
          <w:szCs w:val="28"/>
        </w:rPr>
      </w:r>
    </w:p>
    <w:p>
      <w:pPr>
        <w:pStyle w:val="style0"/>
        <w:shd w:fill="FFFFFF" w:val="clear"/>
        <w:spacing w:after="0" w:before="0"/>
        <w:ind w:hanging="0" w:left="0" w:right="-346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 </w:t>
      </w:r>
      <w:r>
        <w:rPr>
          <w:rFonts w:ascii="Times New Roman" w:cs="Times New Roman" w:hAnsi="Times New Roman"/>
          <w:sz w:val="28"/>
          <w:szCs w:val="28"/>
        </w:rPr>
        <w:t>В целях проведения экспертизы проекта бюджета Дальнереченского городского округа на 2016 год  Контрольно-счётной палатой проведено экспертно-аналитическое мероприятие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по  вопросу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планирования бюджетных ассигнований на выполнение работ (услуг) связанных с вывозом твёрдых бытовых отходов (далее по тексту – вывоз ТБО) в 2016 году. Данное мероприятие проводилось в следующих  учреждениях:</w:t>
      </w:r>
    </w:p>
    <w:p>
      <w:pPr>
        <w:pStyle w:val="style0"/>
        <w:tabs>
          <w:tab w:leader="none" w:pos="567" w:val="left"/>
        </w:tabs>
        <w:spacing w:after="0" w:before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</w:t>
      </w:r>
      <w:r>
        <w:rPr>
          <w:rFonts w:ascii="Times New Roman" w:cs="Times New Roman" w:hAnsi="Times New Roman"/>
          <w:sz w:val="28"/>
          <w:szCs w:val="28"/>
        </w:rPr>
        <w:t>- Муниципальное казённое учреждение «Управление культуры  Дальнереченского городского округа» (далее по тексту – МКУ «Управление культуры  ДГО»);</w:t>
      </w:r>
    </w:p>
    <w:p>
      <w:pPr>
        <w:pStyle w:val="style0"/>
        <w:tabs>
          <w:tab w:leader="none" w:pos="567" w:val="left"/>
        </w:tabs>
        <w:spacing w:after="0" w:before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</w:t>
      </w:r>
      <w:r>
        <w:rPr>
          <w:rFonts w:ascii="Times New Roman" w:cs="Times New Roman" w:hAnsi="Times New Roman"/>
          <w:sz w:val="28"/>
          <w:szCs w:val="28"/>
        </w:rPr>
        <w:t>-  Муниципальное казённое учреждение  «Управление образования» Дальнереченского городского округа (далее по тексту – МКУ «Управление образования» ДГО).</w:t>
      </w:r>
    </w:p>
    <w:p>
      <w:pPr>
        <w:pStyle w:val="style0"/>
        <w:tabs>
          <w:tab w:leader="none" w:pos="567" w:val="left"/>
        </w:tabs>
        <w:spacing w:after="0" w:before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 </w:t>
      </w:r>
      <w:r>
        <w:rPr>
          <w:rFonts w:ascii="Times New Roman" w:cs="Times New Roman" w:hAnsi="Times New Roman"/>
          <w:sz w:val="28"/>
          <w:szCs w:val="28"/>
        </w:rPr>
        <w:t>Постановлением  администрации  Дальнереченского городского округа от 10.06.2015 №748 «Об утверждении лимитов потребления тепловой и электрической энергии, водоснабжения и водоотведения, вывоз твёрдых и жидких бытовых отходов предприятий и организаций, финансируемых из бюджета Дальнереченского городкого округа на 2016-2018 годы» (далее по тексту - Постановление от 10.06.2015 №748), утверждены лимиты по  вывозу ТБО (приложение №4 к Постановлению от 10.06.2015 №748). Лимиты по учреждениям, отражены  в таблице №1.</w:t>
      </w:r>
    </w:p>
    <w:p>
      <w:pPr>
        <w:pStyle w:val="style0"/>
        <w:tabs>
          <w:tab w:leader="none" w:pos="567" w:val="left"/>
        </w:tabs>
        <w:spacing w:after="0" w:before="0"/>
        <w:jc w:val="right"/>
      </w:pPr>
      <w:r>
        <w:rPr>
          <w:rFonts w:ascii="Times New Roman" w:cs="Times New Roman" w:hAnsi="Times New Roman"/>
          <w:sz w:val="18"/>
          <w:szCs w:val="18"/>
        </w:rPr>
        <w:t>Таблица №1  (тыс. рублей)</w:t>
      </w:r>
    </w:p>
    <w:tbl>
      <w:tblPr>
        <w:jc w:val="left"/>
        <w:tblInd w:type="dxa" w:w="-108"/>
        <w:tblBorders/>
      </w:tblPr>
      <w:tblGrid>
        <w:gridCol w:w="3379"/>
        <w:gridCol w:w="3379"/>
        <w:gridCol w:w="3379"/>
      </w:tblGrid>
      <w:tr>
        <w:trPr>
          <w:trHeight w:hRule="atLeast" w:val="339"/>
          <w:cantSplit w:val="false"/>
        </w:trPr>
        <w:tc>
          <w:tcPr>
            <w:tcW w:type="dxa" w:w="337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spacing w:line="276" w:lineRule="auto"/>
              <w:jc w:val="center"/>
            </w:pPr>
            <w:r>
              <w:rPr>
                <w:i/>
                <w:sz w:val="18"/>
                <w:szCs w:val="18"/>
              </w:rPr>
              <w:t>Наименование учреждения, организации</w:t>
            </w:r>
          </w:p>
        </w:tc>
        <w:tc>
          <w:tcPr>
            <w:tcW w:type="dxa" w:w="337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spacing w:line="276" w:lineRule="auto"/>
              <w:jc w:val="center"/>
            </w:pPr>
            <w:r>
              <w:rPr>
                <w:i/>
                <w:sz w:val="18"/>
                <w:szCs w:val="18"/>
              </w:rPr>
              <w:t>Объём м</w:t>
            </w:r>
            <w:r>
              <w:rPr>
                <w:i/>
                <w:sz w:val="18"/>
                <w:szCs w:val="18"/>
                <w:vertAlign w:val="superscript"/>
              </w:rPr>
              <w:t>3</w:t>
            </w:r>
            <w:r>
              <w:rPr>
                <w:i/>
                <w:sz w:val="18"/>
                <w:szCs w:val="18"/>
              </w:rPr>
              <w:t xml:space="preserve">  на 2016 год</w:t>
            </w:r>
          </w:p>
        </w:tc>
        <w:tc>
          <w:tcPr>
            <w:tcW w:type="dxa" w:w="337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spacing w:line="276" w:lineRule="auto"/>
              <w:jc w:val="center"/>
            </w:pPr>
            <w:r>
              <w:rPr>
                <w:i/>
                <w:sz w:val="18"/>
                <w:szCs w:val="18"/>
              </w:rPr>
              <w:t>Сумма затрат на 2016 год</w:t>
            </w:r>
          </w:p>
        </w:tc>
      </w:tr>
      <w:tr>
        <w:trPr>
          <w:trHeight w:hRule="atLeast" w:val="372"/>
          <w:cantSplit w:val="false"/>
        </w:trPr>
        <w:tc>
          <w:tcPr>
            <w:tcW w:type="dxa" w:w="337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spacing w:line="276" w:lineRule="auto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</w:tabs>
              <w:spacing w:line="276" w:lineRule="auto"/>
            </w:pPr>
            <w:r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type="dxa" w:w="337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spacing w:line="276" w:lineRule="auto"/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</w:tabs>
              <w:spacing w:line="276" w:lineRule="auto"/>
              <w:jc w:val="center"/>
            </w:pPr>
            <w:r>
              <w:rPr>
                <w:sz w:val="18"/>
                <w:szCs w:val="18"/>
              </w:rPr>
              <w:t>1320,0</w:t>
            </w:r>
          </w:p>
        </w:tc>
        <w:tc>
          <w:tcPr>
            <w:tcW w:type="dxa" w:w="337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spacing w:line="276" w:lineRule="auto"/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</w:tabs>
              <w:spacing w:line="276" w:lineRule="auto"/>
              <w:jc w:val="center"/>
            </w:pPr>
            <w:r>
              <w:rPr>
                <w:sz w:val="18"/>
                <w:szCs w:val="18"/>
              </w:rPr>
              <w:t>1234,8</w:t>
            </w:r>
          </w:p>
        </w:tc>
      </w:tr>
      <w:tr>
        <w:trPr>
          <w:trHeight w:hRule="atLeast" w:val="419"/>
          <w:cantSplit w:val="false"/>
        </w:trPr>
        <w:tc>
          <w:tcPr>
            <w:tcW w:type="dxa" w:w="337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ectPr>
                <w:headerReference r:id="rId3" w:type="default"/>
                <w:type w:val="nextPage"/>
                <w:pgSz w:h="16838" w:w="11906"/>
                <w:pgMar w:bottom="567" w:footer="0" w:gutter="0" w:header="709" w:left="1134" w:right="851" w:top="766"/>
                <w:pgNumType w:fmt="decimal"/>
                <w:formProt w:val="false"/>
                <w:titlePg/>
                <w:textDirection w:val="lrTb"/>
                <w:docGrid w:charSpace="4096" w:linePitch="360" w:type="default"/>
              </w:sectPr>
              <w:pStyle w:val="style0"/>
              <w:tabs>
                <w:tab w:leader="none" w:pos="567" w:val="left"/>
              </w:tabs>
              <w:spacing w:line="276" w:lineRule="auto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</w:tabs>
              <w:spacing w:line="276" w:lineRule="auto"/>
            </w:pPr>
            <w:r>
              <w:rPr>
                <w:sz w:val="18"/>
                <w:szCs w:val="18"/>
              </w:rPr>
              <w:t>МКУ «Управление культуры ДГО»</w:t>
            </w:r>
          </w:p>
        </w:tc>
        <w:tc>
          <w:tcPr>
            <w:tcW w:type="dxa" w:w="337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spacing w:line="276" w:lineRule="auto"/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</w:tabs>
              <w:spacing w:line="276" w:lineRule="auto"/>
              <w:jc w:val="center"/>
            </w:pPr>
            <w:r>
              <w:rPr>
                <w:sz w:val="18"/>
                <w:szCs w:val="18"/>
              </w:rPr>
              <w:t>136,0</w:t>
            </w:r>
          </w:p>
        </w:tc>
        <w:tc>
          <w:tcPr>
            <w:tcW w:type="dxa" w:w="337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spacing w:line="276" w:lineRule="auto"/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</w:tabs>
              <w:spacing w:line="276" w:lineRule="auto"/>
              <w:jc w:val="center"/>
            </w:pPr>
            <w:r>
              <w:rPr>
                <w:sz w:val="18"/>
                <w:szCs w:val="18"/>
              </w:rPr>
              <w:t>127,3</w:t>
            </w:r>
          </w:p>
        </w:tc>
      </w:tr>
      <w:tr>
        <w:trPr>
          <w:cantSplit w:val="false"/>
        </w:trPr>
        <w:tc>
          <w:tcPr>
            <w:tcW w:type="dxa" w:w="337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spacing w:line="276" w:lineRule="auto"/>
              <w:jc w:val="center"/>
            </w:pPr>
            <w:r>
              <w:rPr>
                <w:b/>
                <w:i/>
                <w:sz w:val="18"/>
                <w:szCs w:val="18"/>
              </w:rPr>
              <w:t>ИТОГО</w:t>
            </w:r>
          </w:p>
        </w:tc>
        <w:tc>
          <w:tcPr>
            <w:tcW w:type="dxa" w:w="337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spacing w:line="276" w:lineRule="auto"/>
              <w:jc w:val="center"/>
            </w:pPr>
            <w:r>
              <w:rPr>
                <w:b/>
                <w:i/>
                <w:sz w:val="18"/>
                <w:szCs w:val="18"/>
              </w:rPr>
              <w:t>1456,0</w:t>
            </w:r>
          </w:p>
        </w:tc>
        <w:tc>
          <w:tcPr>
            <w:tcW w:type="dxa" w:w="337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spacing w:line="276" w:lineRule="auto"/>
              <w:jc w:val="center"/>
            </w:pPr>
            <w:r>
              <w:rPr>
                <w:b/>
                <w:i/>
                <w:sz w:val="18"/>
                <w:szCs w:val="18"/>
              </w:rPr>
              <w:t>1 362,1</w:t>
            </w:r>
          </w:p>
        </w:tc>
      </w:tr>
    </w:tbl>
    <w:p>
      <w:pPr>
        <w:pStyle w:val="style0"/>
        <w:tabs>
          <w:tab w:leader="none" w:pos="567" w:val="left"/>
        </w:tabs>
        <w:spacing w:after="0" w:before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  </w:t>
      </w:r>
    </w:p>
    <w:p>
      <w:pPr>
        <w:pStyle w:val="style0"/>
        <w:tabs>
          <w:tab w:leader="none" w:pos="567" w:val="left"/>
        </w:tabs>
        <w:spacing w:after="0" w:before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  </w:t>
      </w:r>
      <w:r>
        <w:rPr>
          <w:rFonts w:ascii="Times New Roman" w:cs="Times New Roman" w:hAnsi="Times New Roman"/>
          <w:sz w:val="28"/>
          <w:szCs w:val="28"/>
        </w:rPr>
        <w:t xml:space="preserve">По запросу Контрольно-счётной палаты  вышеуказанные учреждения  представили свои расчёты по планированию бюджетных ассигнований  на выполнение работ по вывозу ТБО в разрезе бюджетных учреждений. Общая сумма  расчёта  указана    в таблице №2. </w:t>
      </w:r>
    </w:p>
    <w:p>
      <w:pPr>
        <w:pStyle w:val="style0"/>
        <w:tabs>
          <w:tab w:leader="none" w:pos="567" w:val="left"/>
        </w:tabs>
        <w:spacing w:after="0" w:before="0"/>
        <w:jc w:val="right"/>
      </w:pPr>
      <w:r>
        <w:rPr>
          <w:rFonts w:ascii="Times New Roman" w:cs="Times New Roman" w:hAnsi="Times New Roman"/>
          <w:sz w:val="28"/>
          <w:szCs w:val="28"/>
        </w:rPr>
        <w:t xml:space="preserve">       </w:t>
      </w:r>
      <w:r>
        <w:rPr>
          <w:rFonts w:ascii="Times New Roman" w:cs="Times New Roman" w:hAnsi="Times New Roman"/>
          <w:sz w:val="18"/>
          <w:szCs w:val="18"/>
        </w:rPr>
        <w:t>Таблица №2 (тыс. рублей)</w:t>
      </w:r>
    </w:p>
    <w:tbl>
      <w:tblPr>
        <w:jc w:val="left"/>
        <w:tblInd w:type="dxa" w:w="-108"/>
        <w:tblBorders/>
      </w:tblPr>
      <w:tblGrid>
        <w:gridCol w:w="3379"/>
        <w:gridCol w:w="3379"/>
        <w:gridCol w:w="3379"/>
      </w:tblGrid>
      <w:tr>
        <w:trPr>
          <w:cantSplit w:val="false"/>
        </w:trPr>
        <w:tc>
          <w:tcPr>
            <w:tcW w:type="dxa" w:w="337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spacing w:line="276" w:lineRule="auto"/>
              <w:jc w:val="center"/>
            </w:pPr>
            <w:r>
              <w:rPr>
                <w:i/>
                <w:sz w:val="18"/>
                <w:szCs w:val="18"/>
              </w:rPr>
              <w:t>Наименование учреждения, организации</w:t>
            </w:r>
          </w:p>
        </w:tc>
        <w:tc>
          <w:tcPr>
            <w:tcW w:type="dxa" w:w="337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spacing w:line="276" w:lineRule="auto"/>
              <w:jc w:val="center"/>
            </w:pPr>
            <w:r>
              <w:rPr>
                <w:i/>
                <w:sz w:val="18"/>
                <w:szCs w:val="18"/>
              </w:rPr>
              <w:t xml:space="preserve">Объём м </w:t>
            </w:r>
            <w:r>
              <w:rPr>
                <w:i/>
                <w:sz w:val="18"/>
                <w:szCs w:val="18"/>
                <w:vertAlign w:val="superscript"/>
              </w:rPr>
              <w:t>3</w:t>
            </w:r>
            <w:r>
              <w:rPr>
                <w:i/>
                <w:sz w:val="18"/>
                <w:szCs w:val="18"/>
              </w:rPr>
              <w:t xml:space="preserve">  на 2016 год</w:t>
            </w:r>
          </w:p>
        </w:tc>
        <w:tc>
          <w:tcPr>
            <w:tcW w:type="dxa" w:w="337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spacing w:line="276" w:lineRule="auto"/>
              <w:jc w:val="center"/>
            </w:pPr>
            <w:r>
              <w:rPr>
                <w:i/>
                <w:sz w:val="18"/>
                <w:szCs w:val="18"/>
              </w:rPr>
              <w:t>Сумма затрат на 2016 год</w:t>
            </w:r>
          </w:p>
        </w:tc>
      </w:tr>
      <w:tr>
        <w:trPr>
          <w:cantSplit w:val="false"/>
        </w:trPr>
        <w:tc>
          <w:tcPr>
            <w:tcW w:type="dxa" w:w="337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spacing w:line="276" w:lineRule="auto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</w:tabs>
              <w:spacing w:line="276" w:lineRule="auto"/>
            </w:pPr>
            <w:r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type="dxa" w:w="337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spacing w:line="276" w:lineRule="auto"/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</w:tabs>
              <w:spacing w:line="276" w:lineRule="auto"/>
              <w:jc w:val="center"/>
            </w:pPr>
            <w:r>
              <w:rPr>
                <w:sz w:val="18"/>
                <w:szCs w:val="18"/>
              </w:rPr>
              <w:t>1317,2</w:t>
            </w:r>
          </w:p>
        </w:tc>
        <w:tc>
          <w:tcPr>
            <w:tcW w:type="dxa" w:w="337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spacing w:line="276" w:lineRule="auto"/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</w:tabs>
              <w:spacing w:line="276" w:lineRule="auto"/>
              <w:jc w:val="center"/>
            </w:pPr>
            <w:r>
              <w:rPr>
                <w:sz w:val="18"/>
                <w:szCs w:val="18"/>
              </w:rPr>
              <w:t>1 270,5</w:t>
            </w:r>
          </w:p>
        </w:tc>
      </w:tr>
      <w:tr>
        <w:trPr>
          <w:cantSplit w:val="false"/>
        </w:trPr>
        <w:tc>
          <w:tcPr>
            <w:tcW w:type="dxa" w:w="337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spacing w:line="276" w:lineRule="auto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</w:tabs>
              <w:spacing w:line="276" w:lineRule="auto"/>
            </w:pPr>
            <w:r>
              <w:rPr>
                <w:sz w:val="18"/>
                <w:szCs w:val="18"/>
              </w:rPr>
              <w:t>МКУ «Управление культуры»</w:t>
            </w:r>
          </w:p>
        </w:tc>
        <w:tc>
          <w:tcPr>
            <w:tcW w:type="dxa" w:w="337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spacing w:line="276" w:lineRule="auto"/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</w:tabs>
              <w:spacing w:line="276" w:lineRule="auto"/>
              <w:jc w:val="center"/>
            </w:pPr>
            <w:r>
              <w:rPr>
                <w:sz w:val="18"/>
                <w:szCs w:val="18"/>
              </w:rPr>
              <w:t>136,0</w:t>
            </w:r>
          </w:p>
        </w:tc>
        <w:tc>
          <w:tcPr>
            <w:tcW w:type="dxa" w:w="337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spacing w:line="276" w:lineRule="auto"/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</w:tabs>
              <w:spacing w:line="276" w:lineRule="auto"/>
              <w:jc w:val="center"/>
            </w:pPr>
            <w:r>
              <w:rPr>
                <w:sz w:val="18"/>
                <w:szCs w:val="18"/>
              </w:rPr>
              <w:t>127,3</w:t>
            </w:r>
          </w:p>
        </w:tc>
      </w:tr>
      <w:tr>
        <w:trPr>
          <w:cantSplit w:val="false"/>
        </w:trPr>
        <w:tc>
          <w:tcPr>
            <w:tcW w:type="dxa" w:w="337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spacing w:line="276" w:lineRule="auto"/>
              <w:jc w:val="center"/>
            </w:pPr>
            <w:r>
              <w:rPr>
                <w:b/>
                <w:i/>
                <w:sz w:val="18"/>
                <w:szCs w:val="18"/>
              </w:rPr>
              <w:t>ИТОГО</w:t>
            </w:r>
          </w:p>
        </w:tc>
        <w:tc>
          <w:tcPr>
            <w:tcW w:type="dxa" w:w="337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spacing w:line="276" w:lineRule="auto"/>
              <w:jc w:val="center"/>
            </w:pPr>
            <w:r>
              <w:rPr>
                <w:b/>
                <w:i/>
                <w:sz w:val="18"/>
                <w:szCs w:val="18"/>
              </w:rPr>
              <w:t>1453,2</w:t>
            </w:r>
          </w:p>
        </w:tc>
        <w:tc>
          <w:tcPr>
            <w:tcW w:type="dxa" w:w="337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spacing w:line="276" w:lineRule="auto"/>
              <w:jc w:val="center"/>
            </w:pPr>
            <w:r>
              <w:rPr>
                <w:b/>
                <w:i/>
                <w:sz w:val="18"/>
                <w:szCs w:val="18"/>
              </w:rPr>
              <w:t>1 397,8</w:t>
            </w:r>
          </w:p>
        </w:tc>
      </w:tr>
    </w:tbl>
    <w:p>
      <w:pPr>
        <w:pStyle w:val="style0"/>
        <w:tabs>
          <w:tab w:leader="none" w:pos="567" w:val="left"/>
        </w:tabs>
        <w:spacing w:after="0" w:before="0"/>
        <w:jc w:val="both"/>
      </w:pPr>
      <w:r>
        <w:rPr>
          <w:rFonts w:ascii="Times New Roman" w:cs="Times New Roman" w:hAnsi="Times New Roman"/>
          <w:sz w:val="28"/>
          <w:szCs w:val="28"/>
        </w:rPr>
      </w:r>
    </w:p>
    <w:p>
      <w:pPr>
        <w:pStyle w:val="style0"/>
        <w:tabs>
          <w:tab w:leader="none" w:pos="567" w:val="left"/>
        </w:tabs>
        <w:spacing w:after="0" w:before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</w:t>
      </w:r>
      <w:r>
        <w:rPr>
          <w:rFonts w:ascii="Times New Roman" w:cs="Times New Roman" w:hAnsi="Times New Roman"/>
          <w:sz w:val="28"/>
          <w:szCs w:val="28"/>
        </w:rPr>
        <w:t xml:space="preserve">Расчёты МКУ «Управление образования» ДГО  превысили лимит утверждённый  Постановлением  от 10.06.2015  №748 на сумму 35,68 тыс. рублей, при уменьшенных объёмах. </w:t>
      </w:r>
    </w:p>
    <w:p>
      <w:pPr>
        <w:pStyle w:val="style0"/>
        <w:tabs>
          <w:tab w:leader="none" w:pos="567" w:val="left"/>
        </w:tabs>
        <w:spacing w:after="0" w:before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</w:t>
      </w:r>
      <w:r>
        <w:rPr>
          <w:rFonts w:ascii="Times New Roman" w:cs="Times New Roman" w:hAnsi="Times New Roman"/>
          <w:sz w:val="28"/>
          <w:szCs w:val="28"/>
        </w:rPr>
        <w:t>Вывоз ТБО в 2015 году осуществлялся на основании заключённых договоров с ООО «Доверие», при этом расчёт - калькуляция стоимости  вывоза 1 м</w:t>
      </w:r>
      <w:r>
        <w:rPr>
          <w:rFonts w:ascii="Times New Roman" w:cs="Times New Roman" w:hAnsi="Times New Roman"/>
          <w:sz w:val="28"/>
          <w:szCs w:val="28"/>
          <w:vertAlign w:val="superscript"/>
        </w:rPr>
        <w:t>3</w:t>
      </w:r>
      <w:r>
        <w:rPr>
          <w:rFonts w:ascii="Times New Roman" w:cs="Times New Roman" w:hAnsi="Times New Roman"/>
          <w:sz w:val="28"/>
          <w:szCs w:val="28"/>
        </w:rPr>
        <w:t xml:space="preserve"> отсутствовал.  Согласно  договоров,  стоимость  услуги  за 1 м</w:t>
      </w:r>
      <w:r>
        <w:rPr>
          <w:rFonts w:ascii="Times New Roman" w:cs="Times New Roman" w:hAnsi="Times New Roman"/>
          <w:sz w:val="28"/>
          <w:szCs w:val="28"/>
          <w:vertAlign w:val="superscript"/>
        </w:rPr>
        <w:t>3</w:t>
      </w:r>
      <w:r>
        <w:rPr>
          <w:rFonts w:ascii="Times New Roman" w:cs="Times New Roman" w:hAnsi="Times New Roman"/>
          <w:sz w:val="28"/>
          <w:szCs w:val="28"/>
        </w:rPr>
        <w:t>,  составляла:</w:t>
      </w:r>
    </w:p>
    <w:p>
      <w:pPr>
        <w:pStyle w:val="style0"/>
        <w:tabs>
          <w:tab w:leader="none" w:pos="567" w:val="left"/>
        </w:tabs>
        <w:spacing w:after="0" w:before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 </w:t>
      </w:r>
      <w:r>
        <w:rPr>
          <w:rFonts w:ascii="Times New Roman" w:cs="Times New Roman" w:hAnsi="Times New Roman"/>
          <w:sz w:val="28"/>
          <w:szCs w:val="28"/>
        </w:rPr>
        <w:t>- для общеобразовательных (МБОУ «Лицей», МБОУ СОШ №2; №3; №6, №12),  дошкольных учреждений (МБОУ д/с №4, №5, №7, №10, №12) и учреждений культуры  г. Дальнереченска в  сумме 840,00 рублей;</w:t>
      </w:r>
    </w:p>
    <w:p>
      <w:pPr>
        <w:pStyle w:val="style0"/>
        <w:tabs>
          <w:tab w:leader="none" w:pos="567" w:val="left"/>
        </w:tabs>
        <w:spacing w:after="0" w:before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 </w:t>
      </w:r>
      <w:r>
        <w:rPr>
          <w:rFonts w:ascii="Times New Roman" w:cs="Times New Roman" w:hAnsi="Times New Roman"/>
          <w:sz w:val="28"/>
          <w:szCs w:val="28"/>
        </w:rPr>
        <w:t xml:space="preserve">- для общеобразовательных (МБОУ СОШ №5), дошкольных учреждений (МБДОУ д/с №1, №6) находящихся в сельской местности Дальнереченского городского округа  в сумме 1 550,0 рублей. </w:t>
      </w:r>
    </w:p>
    <w:p>
      <w:pPr>
        <w:pStyle w:val="style0"/>
        <w:tabs>
          <w:tab w:leader="none" w:pos="567" w:val="left"/>
        </w:tabs>
        <w:spacing w:after="0" w:before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 </w:t>
      </w:r>
      <w:r>
        <w:rPr>
          <w:rFonts w:ascii="Times New Roman" w:cs="Times New Roman" w:hAnsi="Times New Roman"/>
          <w:sz w:val="28"/>
          <w:szCs w:val="28"/>
        </w:rPr>
        <w:t>Фактические объёмы и расходы средств бюджета на вывоз ТБО на 01.12. 2015, по учреждениям составили:</w:t>
      </w:r>
    </w:p>
    <w:p>
      <w:pPr>
        <w:pStyle w:val="style0"/>
        <w:tabs>
          <w:tab w:leader="none" w:pos="567" w:val="left"/>
        </w:tabs>
        <w:spacing w:after="0" w:before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 </w:t>
      </w:r>
      <w:r>
        <w:rPr>
          <w:rFonts w:ascii="Times New Roman" w:cs="Times New Roman" w:hAnsi="Times New Roman"/>
          <w:sz w:val="28"/>
          <w:szCs w:val="28"/>
        </w:rPr>
        <w:t>-  МКУ «Управление культуры» ДГО  в  объёме  76,3 м</w:t>
      </w:r>
      <w:r>
        <w:rPr>
          <w:rFonts w:ascii="Times New Roman" w:cs="Times New Roman" w:hAnsi="Times New Roman"/>
          <w:sz w:val="28"/>
          <w:szCs w:val="28"/>
          <w:vertAlign w:val="superscript"/>
        </w:rPr>
        <w:t>3</w:t>
      </w:r>
      <w:r>
        <w:rPr>
          <w:rFonts w:ascii="Times New Roman" w:cs="Times New Roman" w:hAnsi="Times New Roman"/>
          <w:sz w:val="28"/>
          <w:szCs w:val="28"/>
        </w:rPr>
        <w:t>, на  сумму 64,10 тыс. рублей;</w:t>
      </w:r>
    </w:p>
    <w:p>
      <w:pPr>
        <w:pStyle w:val="style0"/>
        <w:tabs>
          <w:tab w:leader="none" w:pos="567" w:val="left"/>
        </w:tabs>
        <w:spacing w:after="0" w:before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 </w:t>
      </w:r>
      <w:r>
        <w:rPr>
          <w:rFonts w:ascii="Times New Roman" w:cs="Times New Roman" w:hAnsi="Times New Roman"/>
          <w:sz w:val="28"/>
          <w:szCs w:val="28"/>
        </w:rPr>
        <w:t>- МКУ «Управление образования» ДГО  в объёме 820 м</w:t>
      </w:r>
      <w:r>
        <w:rPr>
          <w:rFonts w:ascii="Times New Roman" w:cs="Times New Roman" w:hAnsi="Times New Roman"/>
          <w:sz w:val="28"/>
          <w:szCs w:val="28"/>
          <w:vertAlign w:val="superscript"/>
        </w:rPr>
        <w:t>3</w:t>
      </w:r>
      <w:r>
        <w:rPr>
          <w:rFonts w:ascii="Times New Roman" w:cs="Times New Roman" w:hAnsi="Times New Roman"/>
          <w:sz w:val="28"/>
          <w:szCs w:val="28"/>
        </w:rPr>
        <w:t>, на сумму 723,20 тыс. рублей.</w:t>
      </w:r>
    </w:p>
    <w:p>
      <w:pPr>
        <w:pStyle w:val="style0"/>
        <w:tabs>
          <w:tab w:leader="none" w:pos="567" w:val="left"/>
        </w:tabs>
        <w:spacing w:after="0" w:before="0"/>
        <w:jc w:val="both"/>
      </w:pPr>
      <w:r>
        <w:rPr>
          <w:rStyle w:val="style23"/>
          <w:rFonts w:ascii="Times New Roman" w:cs="Times New Roman" w:hAnsi="Times New Roman"/>
          <w:sz w:val="28"/>
          <w:szCs w:val="28"/>
        </w:rPr>
        <w:t xml:space="preserve">        </w:t>
      </w:r>
      <w:r>
        <w:rPr>
          <w:rStyle w:val="style23"/>
          <w:rFonts w:ascii="Times New Roman" w:cs="Times New Roman" w:hAnsi="Times New Roman"/>
          <w:sz w:val="28"/>
          <w:szCs w:val="28"/>
        </w:rPr>
        <w:t>Услуга по сбору и вывозу ТБО  является конкурентной,   стоимость услуги устанавливается организацией, оказывающей данный вид деятельности, на основании договора с потребителем.</w:t>
      </w:r>
    </w:p>
    <w:p>
      <w:pPr>
        <w:pStyle w:val="style0"/>
        <w:tabs>
          <w:tab w:leader="none" w:pos="567" w:val="left"/>
        </w:tabs>
        <w:spacing w:after="0" w:before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 </w:t>
      </w:r>
      <w:r>
        <w:rPr>
          <w:rFonts w:ascii="Times New Roman" w:cs="Times New Roman" w:hAnsi="Times New Roman"/>
          <w:sz w:val="28"/>
          <w:szCs w:val="28"/>
        </w:rPr>
        <w:t xml:space="preserve">Согласно письма от 13.11.2015 №178  ООО «Доверие»   стоимость услуги  по сбору и транспортировке ТБО   в  2016 году,  составит: </w:t>
      </w:r>
    </w:p>
    <w:p>
      <w:pPr>
        <w:pStyle w:val="style0"/>
        <w:tabs>
          <w:tab w:leader="none" w:pos="567" w:val="left"/>
          <w:tab w:leader="none" w:pos="709" w:val="left"/>
        </w:tabs>
        <w:spacing w:after="0" w:before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</w:t>
      </w:r>
      <w:r>
        <w:rPr>
          <w:rFonts w:ascii="Times New Roman" w:cs="Times New Roman" w:hAnsi="Times New Roman"/>
          <w:sz w:val="28"/>
          <w:szCs w:val="28"/>
        </w:rPr>
        <w:t>- для общеобразовательных,  дошкольных учреждений и учреждений культуры  г. Дальнереченска в  сумме 936,00 рублей, с увеличением  на 11,4 % к 2015 году;</w:t>
      </w:r>
    </w:p>
    <w:p>
      <w:pPr>
        <w:pStyle w:val="style0"/>
        <w:tabs>
          <w:tab w:leader="none" w:pos="567" w:val="left"/>
        </w:tabs>
        <w:spacing w:after="0" w:before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 </w:t>
      </w:r>
      <w:r>
        <w:rPr>
          <w:rFonts w:ascii="Times New Roman" w:cs="Times New Roman" w:hAnsi="Times New Roman"/>
          <w:sz w:val="28"/>
          <w:szCs w:val="28"/>
        </w:rPr>
        <w:t>- для общеобразовательных, дошкольных учреждений находящихся в сельской местности Дальнереченского городского округа  в сумме 1 580,0 рублей, с увеличением  на 1,9 % к 2015 году.</w:t>
      </w:r>
    </w:p>
    <w:p>
      <w:pPr>
        <w:pStyle w:val="style0"/>
        <w:tabs>
          <w:tab w:leader="none" w:pos="567" w:val="left"/>
        </w:tabs>
        <w:spacing w:after="0" w:before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 </w:t>
      </w:r>
      <w:r>
        <w:rPr>
          <w:rFonts w:ascii="Times New Roman" w:cs="Times New Roman" w:hAnsi="Times New Roman"/>
          <w:sz w:val="28"/>
          <w:szCs w:val="28"/>
        </w:rPr>
        <w:t>Контрольно-счётной палатой произведён расчёт по фактической потребности бюджетных ассигнований на выполнение работ по вывозу ТБО,</w:t>
      </w:r>
      <w:r>
        <w:rPr>
          <w:rFonts w:ascii="Times New Roman" w:cs="Times New Roman" w:hAnsi="Times New Roman"/>
          <w:sz w:val="18"/>
          <w:szCs w:val="18"/>
        </w:rPr>
        <w:t xml:space="preserve">   </w:t>
      </w:r>
      <w:r>
        <w:rPr>
          <w:rFonts w:ascii="Times New Roman" w:cs="Times New Roman" w:hAnsi="Times New Roman"/>
          <w:sz w:val="28"/>
          <w:szCs w:val="28"/>
        </w:rPr>
        <w:t xml:space="preserve">с учётом стоимости услуги на 2016 год по учреждениям МКУ «Управление образования» ДГО  таблица №3 по МКУ «Управление культуры» ДГО таблица №4: </w:t>
      </w:r>
    </w:p>
    <w:p>
      <w:pPr>
        <w:pStyle w:val="style0"/>
        <w:tabs>
          <w:tab w:leader="none" w:pos="567" w:val="left"/>
          <w:tab w:leader="none" w:pos="1035" w:val="left"/>
        </w:tabs>
        <w:spacing w:after="0" w:before="0"/>
        <w:jc w:val="right"/>
      </w:pPr>
      <w:r>
        <w:rPr>
          <w:rFonts w:ascii="Times New Roman" w:cs="Times New Roman" w:hAnsi="Times New Roman"/>
          <w:sz w:val="18"/>
          <w:szCs w:val="18"/>
        </w:rPr>
      </w:r>
    </w:p>
    <w:p>
      <w:pPr>
        <w:pStyle w:val="style0"/>
        <w:tabs>
          <w:tab w:leader="none" w:pos="567" w:val="left"/>
          <w:tab w:leader="none" w:pos="1035" w:val="left"/>
        </w:tabs>
        <w:spacing w:after="0" w:before="0"/>
        <w:jc w:val="right"/>
      </w:pPr>
      <w:r>
        <w:rPr>
          <w:rFonts w:ascii="Times New Roman" w:cs="Times New Roman" w:hAnsi="Times New Roman"/>
          <w:sz w:val="18"/>
          <w:szCs w:val="18"/>
        </w:rPr>
        <w:t>Таблица №3 (руб.)</w:t>
      </w:r>
    </w:p>
    <w:tbl>
      <w:tblPr>
        <w:jc w:val="left"/>
        <w:tblInd w:type="dxa" w:w="-108"/>
        <w:tblBorders/>
      </w:tblPr>
      <w:tblGrid>
        <w:gridCol w:w="2234"/>
        <w:gridCol w:w="1984"/>
        <w:gridCol w:w="1275"/>
        <w:gridCol w:w="1275"/>
        <w:gridCol w:w="1133"/>
        <w:gridCol w:w="992"/>
        <w:gridCol w:w="1243"/>
      </w:tblGrid>
      <w:tr>
        <w:trPr>
          <w:trHeight w:hRule="atLeast" w:val="573"/>
          <w:cantSplit w:val="false"/>
        </w:trPr>
        <w:tc>
          <w:tcPr>
            <w:tcW w:type="dxa" w:w="223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Наименование  учреждения</w:t>
            </w:r>
          </w:p>
        </w:tc>
        <w:tc>
          <w:tcPr>
            <w:tcW w:type="dxa" w:w="198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Кол-во контейнеров, периодичность вывоза</w:t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(0,75 м</w:t>
            </w:r>
            <w:r>
              <w:rPr>
                <w:i/>
                <w:sz w:val="18"/>
                <w:szCs w:val="18"/>
                <w:vertAlign w:val="superscript"/>
              </w:rPr>
              <w:t>3</w:t>
            </w:r>
            <w:r>
              <w:rPr>
                <w:i/>
                <w:sz w:val="18"/>
                <w:szCs w:val="18"/>
              </w:rPr>
              <w:t>)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Стоимость за 1 м</w:t>
            </w:r>
            <w:r>
              <w:rPr>
                <w:i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Стоимость контейнера</w:t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(0,75м</w:t>
            </w:r>
            <w:r>
              <w:rPr>
                <w:i/>
                <w:sz w:val="18"/>
                <w:szCs w:val="18"/>
                <w:vertAlign w:val="superscript"/>
              </w:rPr>
              <w:t>3</w:t>
            </w:r>
            <w:r>
              <w:rPr>
                <w:i/>
                <w:sz w:val="18"/>
                <w:szCs w:val="18"/>
              </w:rPr>
              <w:t>)</w:t>
            </w:r>
          </w:p>
        </w:tc>
        <w:tc>
          <w:tcPr>
            <w:tcW w:type="dxa" w:w="113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Кол-во вывоза в год</w:t>
            </w:r>
          </w:p>
        </w:tc>
        <w:tc>
          <w:tcPr>
            <w:tcW w:type="dxa" w:w="99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Объём м</w:t>
            </w:r>
            <w:r>
              <w:rPr>
                <w:i/>
                <w:sz w:val="18"/>
                <w:szCs w:val="18"/>
                <w:vertAlign w:val="superscript"/>
              </w:rPr>
              <w:t>3</w:t>
            </w:r>
            <w:r>
              <w:rPr>
                <w:i/>
                <w:sz w:val="18"/>
                <w:szCs w:val="18"/>
              </w:rPr>
              <w:t xml:space="preserve"> в год</w:t>
            </w:r>
          </w:p>
        </w:tc>
        <w:tc>
          <w:tcPr>
            <w:tcW w:type="dxa" w:w="12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Сумма на 2016 год</w:t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(гр.5*гр.4)</w:t>
            </w:r>
          </w:p>
        </w:tc>
      </w:tr>
      <w:tr>
        <w:trPr>
          <w:cantSplit w:val="false"/>
        </w:trPr>
        <w:tc>
          <w:tcPr>
            <w:tcW w:type="dxa" w:w="223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type="dxa" w:w="198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type="dxa" w:w="113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5</w:t>
            </w:r>
          </w:p>
        </w:tc>
        <w:tc>
          <w:tcPr>
            <w:tcW w:type="dxa" w:w="99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type="dxa" w:w="12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7</w:t>
            </w:r>
          </w:p>
        </w:tc>
      </w:tr>
      <w:tr>
        <w:trPr>
          <w:trHeight w:hRule="atLeast" w:val="290"/>
          <w:cantSplit w:val="false"/>
        </w:trPr>
        <w:tc>
          <w:tcPr>
            <w:tcW w:type="dxa" w:w="223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</w:pPr>
            <w:r>
              <w:rPr>
                <w:sz w:val="18"/>
                <w:szCs w:val="18"/>
              </w:rPr>
              <w:t>МБДОУ ДС №1</w:t>
            </w:r>
          </w:p>
        </w:tc>
        <w:tc>
          <w:tcPr>
            <w:tcW w:type="dxa" w:w="198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1/1раз в месяц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1 580,0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1185,0</w:t>
            </w:r>
          </w:p>
        </w:tc>
        <w:tc>
          <w:tcPr>
            <w:tcW w:type="dxa" w:w="113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type="dxa" w:w="99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type="dxa" w:w="12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14 220,0</w:t>
            </w:r>
          </w:p>
        </w:tc>
      </w:tr>
      <w:tr>
        <w:trPr>
          <w:trHeight w:hRule="atLeast" w:val="279"/>
          <w:cantSplit w:val="false"/>
        </w:trPr>
        <w:tc>
          <w:tcPr>
            <w:tcW w:type="dxa" w:w="223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</w:pPr>
            <w:r>
              <w:rPr>
                <w:sz w:val="18"/>
                <w:szCs w:val="18"/>
              </w:rPr>
              <w:t>МБДОУ ДС №4</w:t>
            </w:r>
          </w:p>
        </w:tc>
        <w:tc>
          <w:tcPr>
            <w:tcW w:type="dxa" w:w="198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1/2 раза в неделю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936,0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702,0</w:t>
            </w:r>
          </w:p>
        </w:tc>
        <w:tc>
          <w:tcPr>
            <w:tcW w:type="dxa" w:w="113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type="dxa" w:w="99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type="dxa" w:w="12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70 200,0</w:t>
            </w:r>
          </w:p>
        </w:tc>
      </w:tr>
      <w:tr>
        <w:trPr>
          <w:cantSplit w:val="false"/>
        </w:trPr>
        <w:tc>
          <w:tcPr>
            <w:tcW w:type="dxa" w:w="223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</w:pPr>
            <w:r>
              <w:rPr>
                <w:sz w:val="18"/>
                <w:szCs w:val="18"/>
              </w:rPr>
              <w:t>МБДОУ ДС №5</w:t>
            </w:r>
          </w:p>
        </w:tc>
        <w:tc>
          <w:tcPr>
            <w:tcW w:type="dxa" w:w="198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2/4 раза в неделю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936,0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1404,0</w:t>
            </w:r>
          </w:p>
        </w:tc>
        <w:tc>
          <w:tcPr>
            <w:tcW w:type="dxa" w:w="113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type="dxa" w:w="99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type="dxa" w:w="12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280 800,0</w:t>
            </w:r>
          </w:p>
        </w:tc>
      </w:tr>
      <w:tr>
        <w:trPr>
          <w:cantSplit w:val="false"/>
        </w:trPr>
        <w:tc>
          <w:tcPr>
            <w:tcW w:type="dxa" w:w="223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</w:pPr>
            <w:r>
              <w:rPr>
                <w:sz w:val="18"/>
                <w:szCs w:val="18"/>
              </w:rPr>
              <w:t>МБДОУ ДС №6</w:t>
            </w:r>
          </w:p>
        </w:tc>
        <w:tc>
          <w:tcPr>
            <w:tcW w:type="dxa" w:w="198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1/1раз в месяц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1 580,0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1185,0</w:t>
            </w:r>
          </w:p>
        </w:tc>
        <w:tc>
          <w:tcPr>
            <w:tcW w:type="dxa" w:w="113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type="dxa" w:w="99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type="dxa" w:w="12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14 220,0</w:t>
            </w:r>
          </w:p>
        </w:tc>
      </w:tr>
      <w:tr>
        <w:trPr>
          <w:cantSplit w:val="false"/>
        </w:trPr>
        <w:tc>
          <w:tcPr>
            <w:tcW w:type="dxa" w:w="223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</w:pPr>
            <w:r>
              <w:rPr>
                <w:sz w:val="18"/>
                <w:szCs w:val="18"/>
              </w:rPr>
              <w:t>МБДОУ ДС №7</w:t>
            </w:r>
          </w:p>
        </w:tc>
        <w:tc>
          <w:tcPr>
            <w:tcW w:type="dxa" w:w="198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2/2раза в неделю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936,0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1404,0</w:t>
            </w:r>
          </w:p>
        </w:tc>
        <w:tc>
          <w:tcPr>
            <w:tcW w:type="dxa" w:w="113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type="dxa" w:w="99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type="dxa" w:w="12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140 400,0</w:t>
            </w:r>
          </w:p>
        </w:tc>
      </w:tr>
      <w:tr>
        <w:trPr>
          <w:trHeight w:hRule="atLeast" w:val="105"/>
          <w:cantSplit w:val="false"/>
        </w:trPr>
        <w:tc>
          <w:tcPr>
            <w:tcW w:type="dxa" w:w="223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</w:pPr>
            <w:r>
              <w:rPr>
                <w:sz w:val="18"/>
                <w:szCs w:val="18"/>
              </w:rPr>
              <w:t>МБДОУ ДС №10</w:t>
            </w:r>
          </w:p>
        </w:tc>
        <w:tc>
          <w:tcPr>
            <w:tcW w:type="dxa" w:w="198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1/2 раза в неделю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936,0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702,0</w:t>
            </w:r>
          </w:p>
        </w:tc>
        <w:tc>
          <w:tcPr>
            <w:tcW w:type="dxa" w:w="113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type="dxa" w:w="99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type="dxa" w:w="12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70 200,0</w:t>
            </w:r>
          </w:p>
        </w:tc>
      </w:tr>
      <w:tr>
        <w:trPr>
          <w:trHeight w:hRule="atLeast" w:val="105"/>
          <w:cantSplit w:val="false"/>
        </w:trPr>
        <w:tc>
          <w:tcPr>
            <w:tcW w:type="dxa" w:w="223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</w:pPr>
            <w:r>
              <w:rPr>
                <w:sz w:val="18"/>
                <w:szCs w:val="18"/>
              </w:rPr>
              <w:t>МБДОУ ДС №12</w:t>
            </w:r>
          </w:p>
        </w:tc>
        <w:tc>
          <w:tcPr>
            <w:tcW w:type="dxa" w:w="198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1/1 раз в неделю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936,0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702,0</w:t>
            </w:r>
          </w:p>
        </w:tc>
        <w:tc>
          <w:tcPr>
            <w:tcW w:type="dxa" w:w="113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type="dxa" w:w="99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type="dxa" w:w="12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35 100,0</w:t>
            </w:r>
          </w:p>
        </w:tc>
      </w:tr>
      <w:tr>
        <w:trPr>
          <w:trHeight w:hRule="atLeast" w:val="266"/>
          <w:cantSplit w:val="false"/>
        </w:trPr>
        <w:tc>
          <w:tcPr>
            <w:tcW w:type="dxa" w:w="223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both"/>
            </w:pPr>
            <w:r>
              <w:rPr>
                <w:b/>
                <w:i/>
                <w:sz w:val="18"/>
                <w:szCs w:val="18"/>
              </w:rPr>
              <w:t>ИТОГО</w:t>
            </w:r>
          </w:p>
        </w:tc>
        <w:tc>
          <w:tcPr>
            <w:tcW w:type="dxa" w:w="198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b/>
                <w:i/>
                <w:sz w:val="18"/>
                <w:szCs w:val="18"/>
              </w:rPr>
              <w:t>9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b/>
                <w:i/>
                <w:sz w:val="18"/>
                <w:szCs w:val="18"/>
              </w:rPr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both"/>
            </w:pPr>
            <w:r>
              <w:rPr>
                <w:b/>
                <w:i/>
                <w:sz w:val="18"/>
                <w:szCs w:val="18"/>
              </w:rPr>
            </w:r>
          </w:p>
        </w:tc>
        <w:tc>
          <w:tcPr>
            <w:tcW w:type="dxa" w:w="113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both"/>
            </w:pPr>
            <w:r>
              <w:rPr>
                <w:b/>
                <w:i/>
                <w:sz w:val="18"/>
                <w:szCs w:val="18"/>
              </w:rPr>
            </w:r>
          </w:p>
        </w:tc>
        <w:tc>
          <w:tcPr>
            <w:tcW w:type="dxa" w:w="99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b/>
                <w:i/>
                <w:sz w:val="18"/>
                <w:szCs w:val="18"/>
              </w:rPr>
              <w:t>655,5</w:t>
            </w:r>
          </w:p>
        </w:tc>
        <w:tc>
          <w:tcPr>
            <w:tcW w:type="dxa" w:w="12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b/>
                <w:i/>
                <w:sz w:val="18"/>
                <w:szCs w:val="18"/>
              </w:rPr>
              <w:t>625 140,0</w:t>
            </w:r>
          </w:p>
        </w:tc>
      </w:tr>
      <w:tr>
        <w:trPr>
          <w:trHeight w:hRule="atLeast" w:val="348"/>
          <w:cantSplit w:val="false"/>
        </w:trPr>
        <w:tc>
          <w:tcPr>
            <w:tcW w:type="dxa" w:w="223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both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both"/>
            </w:pPr>
            <w:r>
              <w:rPr>
                <w:sz w:val="18"/>
                <w:szCs w:val="18"/>
              </w:rPr>
              <w:t>МБОУ «Лицей»</w:t>
            </w:r>
          </w:p>
        </w:tc>
        <w:tc>
          <w:tcPr>
            <w:tcW w:type="dxa" w:w="198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2/2 раза в неделю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936,0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1 404,0</w:t>
            </w:r>
          </w:p>
        </w:tc>
        <w:tc>
          <w:tcPr>
            <w:tcW w:type="dxa" w:w="113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type="dxa" w:w="99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type="dxa" w:w="12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140 400,0</w:t>
            </w:r>
          </w:p>
        </w:tc>
      </w:tr>
      <w:tr>
        <w:trPr>
          <w:trHeight w:hRule="atLeast" w:val="95"/>
          <w:cantSplit w:val="false"/>
        </w:trPr>
        <w:tc>
          <w:tcPr>
            <w:tcW w:type="dxa" w:w="223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both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both"/>
            </w:pPr>
            <w:r>
              <w:rPr>
                <w:sz w:val="18"/>
                <w:szCs w:val="18"/>
              </w:rPr>
              <w:t>МБОУ СОШ №2</w:t>
            </w:r>
          </w:p>
        </w:tc>
        <w:tc>
          <w:tcPr>
            <w:tcW w:type="dxa" w:w="198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2/2 раза в неделю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936,0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1 404,0</w:t>
            </w:r>
          </w:p>
        </w:tc>
        <w:tc>
          <w:tcPr>
            <w:tcW w:type="dxa" w:w="113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type="dxa" w:w="99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type="dxa" w:w="12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140 400,0</w:t>
            </w:r>
          </w:p>
        </w:tc>
      </w:tr>
      <w:tr>
        <w:trPr>
          <w:trHeight w:hRule="atLeast" w:val="120"/>
          <w:cantSplit w:val="false"/>
        </w:trPr>
        <w:tc>
          <w:tcPr>
            <w:tcW w:type="dxa" w:w="223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both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both"/>
            </w:pPr>
            <w:r>
              <w:rPr>
                <w:sz w:val="18"/>
                <w:szCs w:val="18"/>
              </w:rPr>
              <w:t>МБОУ СОШ №3</w:t>
            </w:r>
          </w:p>
        </w:tc>
        <w:tc>
          <w:tcPr>
            <w:tcW w:type="dxa" w:w="198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2/1 раз в неделю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936,0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1 404,0</w:t>
            </w:r>
          </w:p>
        </w:tc>
        <w:tc>
          <w:tcPr>
            <w:tcW w:type="dxa" w:w="113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type="dxa" w:w="99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type="dxa" w:w="12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70 200,0</w:t>
            </w:r>
          </w:p>
        </w:tc>
      </w:tr>
      <w:tr>
        <w:trPr>
          <w:trHeight w:hRule="atLeast" w:val="105"/>
          <w:cantSplit w:val="false"/>
        </w:trPr>
        <w:tc>
          <w:tcPr>
            <w:tcW w:type="dxa" w:w="223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both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both"/>
            </w:pPr>
            <w:r>
              <w:rPr>
                <w:sz w:val="18"/>
                <w:szCs w:val="18"/>
              </w:rPr>
              <w:t>МБОУ СОШ №5</w:t>
            </w:r>
          </w:p>
        </w:tc>
        <w:tc>
          <w:tcPr>
            <w:tcW w:type="dxa" w:w="198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2/3 раза в месяц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1 580,0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2 370,0</w:t>
            </w:r>
          </w:p>
        </w:tc>
        <w:tc>
          <w:tcPr>
            <w:tcW w:type="dxa" w:w="113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type="dxa" w:w="99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type="dxa" w:w="12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85 320,0</w:t>
            </w:r>
          </w:p>
        </w:tc>
      </w:tr>
      <w:tr>
        <w:trPr>
          <w:trHeight w:hRule="atLeast" w:val="105"/>
          <w:cantSplit w:val="false"/>
        </w:trPr>
        <w:tc>
          <w:tcPr>
            <w:tcW w:type="dxa" w:w="223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both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both"/>
            </w:pPr>
            <w:r>
              <w:rPr>
                <w:sz w:val="18"/>
                <w:szCs w:val="18"/>
              </w:rPr>
              <w:t>МБОУ СОШ №6</w:t>
            </w:r>
          </w:p>
        </w:tc>
        <w:tc>
          <w:tcPr>
            <w:tcW w:type="dxa" w:w="198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2/2 раза в неделю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936,0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1 404,0</w:t>
            </w:r>
          </w:p>
        </w:tc>
        <w:tc>
          <w:tcPr>
            <w:tcW w:type="dxa" w:w="113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type="dxa" w:w="99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type="dxa" w:w="12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140 400,0</w:t>
            </w:r>
          </w:p>
        </w:tc>
      </w:tr>
      <w:tr>
        <w:trPr>
          <w:trHeight w:hRule="atLeast" w:val="110"/>
          <w:cantSplit w:val="false"/>
        </w:trPr>
        <w:tc>
          <w:tcPr>
            <w:tcW w:type="dxa" w:w="223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both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both"/>
            </w:pPr>
            <w:r>
              <w:rPr>
                <w:sz w:val="18"/>
                <w:szCs w:val="18"/>
              </w:rPr>
              <w:t>МБОУ СОШ №12</w:t>
            </w:r>
          </w:p>
        </w:tc>
        <w:tc>
          <w:tcPr>
            <w:tcW w:type="dxa" w:w="198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1/1 раз в неделю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936,0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702,0</w:t>
            </w:r>
          </w:p>
        </w:tc>
        <w:tc>
          <w:tcPr>
            <w:tcW w:type="dxa" w:w="113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type="dxa" w:w="99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type="dxa" w:w="12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35 100,0</w:t>
            </w:r>
          </w:p>
        </w:tc>
      </w:tr>
      <w:tr>
        <w:trPr>
          <w:trHeight w:hRule="atLeast" w:val="105"/>
          <w:cantSplit w:val="false"/>
        </w:trPr>
        <w:tc>
          <w:tcPr>
            <w:tcW w:type="dxa" w:w="223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both"/>
            </w:pPr>
            <w:r>
              <w:rPr>
                <w:b/>
                <w:i/>
                <w:sz w:val="18"/>
                <w:szCs w:val="18"/>
              </w:rPr>
              <w:t>ИТОГО</w:t>
            </w:r>
          </w:p>
        </w:tc>
        <w:tc>
          <w:tcPr>
            <w:tcW w:type="dxa" w:w="198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b/>
                <w:i/>
                <w:sz w:val="18"/>
                <w:szCs w:val="18"/>
              </w:rPr>
              <w:t>11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b/>
                <w:i/>
                <w:sz w:val="18"/>
                <w:szCs w:val="18"/>
              </w:rPr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b/>
                <w:i/>
                <w:sz w:val="18"/>
                <w:szCs w:val="18"/>
              </w:rPr>
            </w:r>
          </w:p>
        </w:tc>
        <w:tc>
          <w:tcPr>
            <w:tcW w:type="dxa" w:w="113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b/>
                <w:i/>
                <w:sz w:val="18"/>
                <w:szCs w:val="18"/>
              </w:rPr>
            </w:r>
          </w:p>
        </w:tc>
        <w:tc>
          <w:tcPr>
            <w:tcW w:type="dxa" w:w="99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b/>
                <w:i/>
                <w:sz w:val="18"/>
                <w:szCs w:val="18"/>
              </w:rPr>
              <w:t>616,5</w:t>
            </w:r>
          </w:p>
        </w:tc>
        <w:tc>
          <w:tcPr>
            <w:tcW w:type="dxa" w:w="12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b/>
                <w:i/>
                <w:sz w:val="18"/>
                <w:szCs w:val="18"/>
              </w:rPr>
              <w:t>611 820,0</w:t>
            </w:r>
          </w:p>
        </w:tc>
      </w:tr>
      <w:tr>
        <w:trPr>
          <w:trHeight w:hRule="atLeast" w:val="105"/>
          <w:cantSplit w:val="false"/>
        </w:trPr>
        <w:tc>
          <w:tcPr>
            <w:tcW w:type="dxa" w:w="223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both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both"/>
            </w:pPr>
            <w:r>
              <w:rPr>
                <w:sz w:val="18"/>
                <w:szCs w:val="18"/>
              </w:rPr>
              <w:t>ДЮСШ</w:t>
            </w:r>
          </w:p>
        </w:tc>
        <w:tc>
          <w:tcPr>
            <w:tcW w:type="dxa" w:w="198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1/1 раз в неделю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936,0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702,0</w:t>
            </w:r>
          </w:p>
        </w:tc>
        <w:tc>
          <w:tcPr>
            <w:tcW w:type="dxa" w:w="113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type="dxa" w:w="99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type="dxa" w:w="12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35 100,0</w:t>
            </w:r>
          </w:p>
        </w:tc>
      </w:tr>
      <w:tr>
        <w:trPr>
          <w:trHeight w:hRule="atLeast" w:val="110"/>
          <w:cantSplit w:val="false"/>
        </w:trPr>
        <w:tc>
          <w:tcPr>
            <w:tcW w:type="dxa" w:w="2234"/>
            <w:tcBorders>
              <w:bottom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both"/>
            </w:pPr>
            <w:r>
              <w:rPr>
                <w:b/>
                <w:i/>
                <w:sz w:val="18"/>
                <w:szCs w:val="18"/>
              </w:rPr>
              <w:t>ВСЕГО</w:t>
            </w:r>
          </w:p>
        </w:tc>
        <w:tc>
          <w:tcPr>
            <w:tcW w:type="dxa" w:w="1984"/>
            <w:tcBorders>
              <w:bottom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b/>
                <w:i/>
                <w:sz w:val="18"/>
                <w:szCs w:val="18"/>
              </w:rPr>
              <w:t>21</w:t>
            </w:r>
          </w:p>
        </w:tc>
        <w:tc>
          <w:tcPr>
            <w:tcW w:type="dxa" w:w="1275"/>
            <w:tcBorders>
              <w:bottom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b/>
                <w:i/>
                <w:sz w:val="18"/>
                <w:szCs w:val="18"/>
              </w:rPr>
            </w:r>
          </w:p>
        </w:tc>
        <w:tc>
          <w:tcPr>
            <w:tcW w:type="dxa" w:w="1275"/>
            <w:tcBorders>
              <w:bottom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b/>
                <w:i/>
                <w:sz w:val="18"/>
                <w:szCs w:val="18"/>
              </w:rPr>
            </w:r>
          </w:p>
        </w:tc>
        <w:tc>
          <w:tcPr>
            <w:tcW w:type="dxa" w:w="1133"/>
            <w:tcBorders>
              <w:bottom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b/>
                <w:i/>
                <w:sz w:val="18"/>
                <w:szCs w:val="18"/>
              </w:rPr>
            </w:r>
          </w:p>
        </w:tc>
        <w:tc>
          <w:tcPr>
            <w:tcW w:type="dxa" w:w="992"/>
            <w:tcBorders>
              <w:bottom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b/>
                <w:i/>
                <w:sz w:val="18"/>
                <w:szCs w:val="18"/>
              </w:rPr>
              <w:t>1 309,5</w:t>
            </w:r>
          </w:p>
        </w:tc>
        <w:tc>
          <w:tcPr>
            <w:tcW w:type="dxa" w:w="1243"/>
            <w:tcBorders>
              <w:bottom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b/>
                <w:i/>
                <w:sz w:val="18"/>
                <w:szCs w:val="18"/>
              </w:rPr>
              <w:t>1 272 060,0</w:t>
            </w:r>
          </w:p>
        </w:tc>
      </w:tr>
    </w:tbl>
    <w:p>
      <w:pPr>
        <w:pStyle w:val="style0"/>
        <w:tabs>
          <w:tab w:leader="none" w:pos="567" w:val="left"/>
          <w:tab w:leader="none" w:pos="1035" w:val="left"/>
        </w:tabs>
        <w:spacing w:after="0" w:before="0"/>
        <w:jc w:val="both"/>
      </w:pPr>
      <w:r>
        <w:rPr>
          <w:rFonts w:ascii="Times New Roman" w:cs="Times New Roman" w:hAnsi="Times New Roman"/>
          <w:b/>
          <w:i/>
          <w:sz w:val="20"/>
          <w:szCs w:val="20"/>
        </w:rPr>
      </w:r>
    </w:p>
    <w:p>
      <w:pPr>
        <w:pStyle w:val="style0"/>
        <w:tabs>
          <w:tab w:leader="none" w:pos="567" w:val="left"/>
        </w:tabs>
        <w:spacing w:after="0" w:before="0"/>
        <w:jc w:val="right"/>
      </w:pPr>
      <w:r>
        <w:rPr>
          <w:rFonts w:ascii="Times New Roman" w:cs="Times New Roman" w:hAnsi="Times New Roman"/>
          <w:sz w:val="18"/>
          <w:szCs w:val="18"/>
        </w:rPr>
        <w:t>Таблица №4 (руб.)</w:t>
      </w:r>
    </w:p>
    <w:tbl>
      <w:tblPr>
        <w:jc w:val="left"/>
        <w:tblInd w:type="dxa" w:w="-108"/>
        <w:tblBorders/>
      </w:tblPr>
      <w:tblGrid>
        <w:gridCol w:w="2234"/>
        <w:gridCol w:w="1984"/>
        <w:gridCol w:w="1275"/>
        <w:gridCol w:w="1275"/>
        <w:gridCol w:w="1133"/>
        <w:gridCol w:w="992"/>
        <w:gridCol w:w="1243"/>
      </w:tblGrid>
      <w:tr>
        <w:trPr>
          <w:trHeight w:hRule="atLeast" w:val="445"/>
          <w:cantSplit w:val="false"/>
        </w:trPr>
        <w:tc>
          <w:tcPr>
            <w:tcW w:type="dxa" w:w="223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Наименование  учреждения</w:t>
            </w:r>
          </w:p>
        </w:tc>
        <w:tc>
          <w:tcPr>
            <w:tcW w:type="dxa" w:w="198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Кол-во контейнеров, периодичность вывоза (0,75м</w:t>
            </w:r>
            <w:r>
              <w:rPr>
                <w:i/>
                <w:sz w:val="18"/>
                <w:szCs w:val="18"/>
                <w:vertAlign w:val="superscript"/>
              </w:rPr>
              <w:t>3</w:t>
            </w:r>
            <w:r>
              <w:rPr>
                <w:i/>
                <w:sz w:val="18"/>
                <w:szCs w:val="18"/>
              </w:rPr>
              <w:t>)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Стоимость за 1 м</w:t>
            </w:r>
            <w:r>
              <w:rPr>
                <w:i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Стоимость контейнера</w:t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(0,75м</w:t>
            </w:r>
            <w:r>
              <w:rPr>
                <w:i/>
                <w:sz w:val="18"/>
                <w:szCs w:val="18"/>
                <w:vertAlign w:val="superscript"/>
              </w:rPr>
              <w:t>3</w:t>
            </w:r>
            <w:r>
              <w:rPr>
                <w:i/>
                <w:sz w:val="18"/>
                <w:szCs w:val="18"/>
              </w:rPr>
              <w:t>)</w:t>
            </w:r>
          </w:p>
        </w:tc>
        <w:tc>
          <w:tcPr>
            <w:tcW w:type="dxa" w:w="113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Кол-во вывоза в год</w:t>
            </w:r>
          </w:p>
        </w:tc>
        <w:tc>
          <w:tcPr>
            <w:tcW w:type="dxa" w:w="99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Объём м</w:t>
            </w:r>
            <w:r>
              <w:rPr>
                <w:i/>
                <w:sz w:val="18"/>
                <w:szCs w:val="18"/>
                <w:vertAlign w:val="superscript"/>
              </w:rPr>
              <w:t>3</w:t>
            </w:r>
            <w:r>
              <w:rPr>
                <w:i/>
                <w:sz w:val="18"/>
                <w:szCs w:val="18"/>
              </w:rPr>
              <w:t xml:space="preserve"> в год</w:t>
            </w:r>
          </w:p>
        </w:tc>
        <w:tc>
          <w:tcPr>
            <w:tcW w:type="dxa" w:w="12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Сумма на 2016 год</w:t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(гр.5*гр.4)</w:t>
            </w:r>
          </w:p>
        </w:tc>
      </w:tr>
      <w:tr>
        <w:trPr>
          <w:cantSplit w:val="false"/>
        </w:trPr>
        <w:tc>
          <w:tcPr>
            <w:tcW w:type="dxa" w:w="223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type="dxa" w:w="198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type="dxa" w:w="113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5</w:t>
            </w:r>
          </w:p>
        </w:tc>
        <w:tc>
          <w:tcPr>
            <w:tcW w:type="dxa" w:w="99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type="dxa" w:w="12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i/>
                <w:sz w:val="18"/>
                <w:szCs w:val="18"/>
              </w:rPr>
              <w:t>7</w:t>
            </w:r>
          </w:p>
        </w:tc>
      </w:tr>
      <w:tr>
        <w:trPr>
          <w:trHeight w:hRule="atLeast" w:val="290"/>
          <w:cantSplit w:val="false"/>
        </w:trPr>
        <w:tc>
          <w:tcPr>
            <w:tcW w:type="dxa" w:w="223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</w:pPr>
            <w:r>
              <w:rPr>
                <w:sz w:val="18"/>
                <w:szCs w:val="18"/>
              </w:rPr>
              <w:t>МКУ «УК ДГО» музей</w:t>
            </w:r>
          </w:p>
        </w:tc>
        <w:tc>
          <w:tcPr>
            <w:tcW w:type="dxa" w:w="198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1/1 раза в месяц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936,0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702,0</w:t>
            </w:r>
          </w:p>
        </w:tc>
        <w:tc>
          <w:tcPr>
            <w:tcW w:type="dxa" w:w="113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type="dxa" w:w="99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type="dxa" w:w="12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8 424,0</w:t>
            </w:r>
          </w:p>
        </w:tc>
      </w:tr>
      <w:tr>
        <w:trPr>
          <w:trHeight w:hRule="atLeast" w:val="279"/>
          <w:cantSplit w:val="false"/>
        </w:trPr>
        <w:tc>
          <w:tcPr>
            <w:tcW w:type="dxa" w:w="223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</w:pPr>
            <w:r>
              <w:rPr>
                <w:sz w:val="18"/>
                <w:szCs w:val="18"/>
              </w:rPr>
              <w:t>МБУ ДК «Восток»</w:t>
            </w:r>
          </w:p>
        </w:tc>
        <w:tc>
          <w:tcPr>
            <w:tcW w:type="dxa" w:w="198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2/1 раз в неделю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936,0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702,0</w:t>
            </w:r>
          </w:p>
        </w:tc>
        <w:tc>
          <w:tcPr>
            <w:tcW w:type="dxa" w:w="113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type="dxa" w:w="99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type="dxa" w:w="12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70 200,0</w:t>
            </w:r>
          </w:p>
        </w:tc>
      </w:tr>
      <w:tr>
        <w:trPr>
          <w:cantSplit w:val="false"/>
        </w:trPr>
        <w:tc>
          <w:tcPr>
            <w:tcW w:type="dxa" w:w="223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</w:pPr>
            <w:r>
              <w:rPr>
                <w:sz w:val="18"/>
                <w:szCs w:val="18"/>
              </w:rPr>
              <w:t>МБУ «ЦБС»</w:t>
            </w:r>
          </w:p>
        </w:tc>
        <w:tc>
          <w:tcPr>
            <w:tcW w:type="dxa" w:w="198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1/1 раза в месяц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936,0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702,0</w:t>
            </w:r>
          </w:p>
        </w:tc>
        <w:tc>
          <w:tcPr>
            <w:tcW w:type="dxa" w:w="113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type="dxa" w:w="99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type="dxa" w:w="12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8 424,0</w:t>
            </w:r>
          </w:p>
        </w:tc>
      </w:tr>
      <w:tr>
        <w:trPr>
          <w:cantSplit w:val="false"/>
        </w:trPr>
        <w:tc>
          <w:tcPr>
            <w:tcW w:type="dxa" w:w="223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</w:pPr>
            <w:r>
              <w:rPr>
                <w:sz w:val="18"/>
                <w:szCs w:val="18"/>
              </w:rPr>
              <w:t>МБОУ ДОД «ДШИ»</w:t>
            </w:r>
          </w:p>
        </w:tc>
        <w:tc>
          <w:tcPr>
            <w:tcW w:type="dxa" w:w="198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1/3 раза в месяц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936,0</w:t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702,0</w:t>
            </w:r>
          </w:p>
        </w:tc>
        <w:tc>
          <w:tcPr>
            <w:tcW w:type="dxa" w:w="113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type="dxa" w:w="99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type="dxa" w:w="12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  <w:t>25 272,0</w:t>
            </w:r>
          </w:p>
        </w:tc>
      </w:tr>
      <w:tr>
        <w:trPr>
          <w:trHeight w:hRule="atLeast" w:val="273"/>
          <w:cantSplit w:val="false"/>
        </w:trPr>
        <w:tc>
          <w:tcPr>
            <w:tcW w:type="dxa" w:w="223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both"/>
            </w:pPr>
            <w:r>
              <w:rPr>
                <w:b/>
                <w:i/>
                <w:sz w:val="18"/>
                <w:szCs w:val="18"/>
              </w:rPr>
              <w:t>ВСЕГО</w:t>
            </w:r>
          </w:p>
        </w:tc>
        <w:tc>
          <w:tcPr>
            <w:tcW w:type="dxa" w:w="198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</w:tc>
        <w:tc>
          <w:tcPr>
            <w:tcW w:type="dxa" w:w="1275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</w:tc>
        <w:tc>
          <w:tcPr>
            <w:tcW w:type="dxa" w:w="113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sz w:val="18"/>
                <w:szCs w:val="18"/>
              </w:rPr>
            </w:r>
          </w:p>
        </w:tc>
        <w:tc>
          <w:tcPr>
            <w:tcW w:type="dxa" w:w="99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b/>
                <w:i/>
                <w:sz w:val="18"/>
                <w:szCs w:val="18"/>
              </w:rPr>
              <w:t>120</w:t>
            </w:r>
          </w:p>
        </w:tc>
        <w:tc>
          <w:tcPr>
            <w:tcW w:type="dxa" w:w="12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  <w:tab w:leader="none" w:pos="1035" w:val="left"/>
              </w:tabs>
              <w:jc w:val="center"/>
            </w:pPr>
            <w:r>
              <w:rPr>
                <w:b/>
                <w:i/>
                <w:sz w:val="18"/>
                <w:szCs w:val="18"/>
              </w:rPr>
              <w:t>112 320,0</w:t>
            </w:r>
          </w:p>
        </w:tc>
      </w:tr>
    </w:tbl>
    <w:p>
      <w:pPr>
        <w:pStyle w:val="style0"/>
        <w:tabs>
          <w:tab w:leader="none" w:pos="567" w:val="left"/>
        </w:tabs>
        <w:spacing w:after="0" w:before="0"/>
        <w:jc w:val="both"/>
      </w:pPr>
      <w:r>
        <w:rPr>
          <w:rFonts w:ascii="Times New Roman" w:cs="Times New Roman" w:hAnsi="Times New Roman"/>
          <w:sz w:val="18"/>
          <w:szCs w:val="18"/>
        </w:rPr>
        <w:t xml:space="preserve">            </w:t>
      </w:r>
    </w:p>
    <w:p>
      <w:pPr>
        <w:pStyle w:val="style0"/>
        <w:tabs>
          <w:tab w:leader="none" w:pos="567" w:val="left"/>
        </w:tabs>
        <w:spacing w:after="0" w:before="0"/>
        <w:jc w:val="both"/>
      </w:pPr>
      <w:r>
        <w:rPr>
          <w:rFonts w:ascii="Times New Roman" w:cs="Times New Roman" w:hAnsi="Times New Roman"/>
          <w:sz w:val="18"/>
          <w:szCs w:val="18"/>
        </w:rPr>
        <w:t xml:space="preserve">          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Из расчётных показателей следует:</w:t>
      </w:r>
    </w:p>
    <w:p>
      <w:pPr>
        <w:pStyle w:val="style0"/>
        <w:tabs>
          <w:tab w:leader="none" w:pos="567" w:val="left"/>
        </w:tabs>
        <w:spacing w:after="0" w:before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</w:t>
      </w:r>
      <w:r>
        <w:rPr>
          <w:rFonts w:ascii="Times New Roman" w:cs="Times New Roman" w:hAnsi="Times New Roman"/>
          <w:sz w:val="28"/>
          <w:szCs w:val="28"/>
        </w:rPr>
        <w:t xml:space="preserve">- МКУ «Управление образования» ДГО потребность бюджетных ассигнований, составила в сумме 1 272,06 тыс. рублей, что больше на 37,38 тыс. рублей утверждённых  постановлением от 10.06.2015 №748 (1234,8 тыс. рублей); </w:t>
      </w:r>
    </w:p>
    <w:p>
      <w:pPr>
        <w:pStyle w:val="style0"/>
        <w:tabs>
          <w:tab w:leader="none" w:pos="567" w:val="left"/>
        </w:tabs>
        <w:spacing w:after="0" w:before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</w:t>
      </w:r>
      <w:r>
        <w:rPr>
          <w:rFonts w:ascii="Times New Roman" w:cs="Times New Roman" w:hAnsi="Times New Roman"/>
          <w:sz w:val="28"/>
          <w:szCs w:val="28"/>
        </w:rPr>
        <w:t xml:space="preserve">-  МКУ «Управление культуры» ДГО  потребность бюджетных ассигнований,  составила в сумме 112,32 тыс. рублей, меньше утверждённых постановлением от 10.06.2015 №748  лимитов,   на сумму  15,0 тыс. рублей(127,3 тыс. рублей).   </w:t>
      </w:r>
    </w:p>
    <w:p>
      <w:pPr>
        <w:pStyle w:val="style0"/>
        <w:tabs>
          <w:tab w:leader="none" w:pos="567" w:val="left"/>
        </w:tabs>
        <w:spacing w:after="0" w:before="0"/>
        <w:jc w:val="both"/>
      </w:pPr>
      <w:r>
        <w:rPr>
          <w:rFonts w:ascii="Times New Roman" w:cs="Times New Roman" w:hAnsi="Times New Roman"/>
          <w:sz w:val="28"/>
          <w:szCs w:val="28"/>
        </w:rPr>
      </w:r>
    </w:p>
    <w:p>
      <w:pPr>
        <w:pStyle w:val="style0"/>
        <w:tabs>
          <w:tab w:leader="none" w:pos="567" w:val="left"/>
        </w:tabs>
        <w:spacing w:after="0" w:before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 </w:t>
      </w:r>
      <w:r>
        <w:rPr>
          <w:rFonts w:ascii="Times New Roman" w:cs="Times New Roman" w:hAnsi="Times New Roman"/>
          <w:sz w:val="28"/>
          <w:szCs w:val="28"/>
        </w:rPr>
        <w:t xml:space="preserve">Анализируя фактические  объёмы за одиннадцать месяцев 2015 года  и планируемые  за одиннадцать месяцев  2016 года, установлено завышение объёмов вывоза ТБО. </w:t>
      </w:r>
      <w:r>
        <w:rPr>
          <w:rFonts w:ascii="Times New Roman" w:cs="Times New Roman" w:hAnsi="Times New Roman"/>
          <w:b/>
          <w:i/>
          <w:sz w:val="28"/>
          <w:szCs w:val="28"/>
        </w:rPr>
        <w:t xml:space="preserve">   </w:t>
      </w:r>
      <w:r>
        <w:rPr>
          <w:rFonts w:ascii="Times New Roman" w:cs="Times New Roman" w:hAnsi="Times New Roman"/>
          <w:sz w:val="28"/>
          <w:szCs w:val="28"/>
        </w:rPr>
        <w:t>Результаты анализа  оформлены в  таблице №5:</w:t>
      </w:r>
    </w:p>
    <w:p>
      <w:pPr>
        <w:pStyle w:val="style0"/>
        <w:tabs>
          <w:tab w:leader="none" w:pos="567" w:val="left"/>
        </w:tabs>
        <w:spacing w:after="0" w:before="0"/>
        <w:jc w:val="right"/>
      </w:pPr>
      <w:r>
        <w:rPr>
          <w:rFonts w:ascii="Times New Roman" w:cs="Times New Roman" w:hAnsi="Times New Roman"/>
          <w:sz w:val="28"/>
          <w:szCs w:val="28"/>
        </w:rPr>
        <w:t xml:space="preserve">       </w:t>
      </w:r>
      <w:r>
        <w:rPr>
          <w:rFonts w:ascii="Times New Roman" w:cs="Times New Roman" w:hAnsi="Times New Roman"/>
          <w:sz w:val="18"/>
          <w:szCs w:val="18"/>
        </w:rPr>
        <w:t>Таблица №5 (м</w:t>
      </w:r>
      <w:r>
        <w:rPr>
          <w:rFonts w:ascii="Times New Roman" w:cs="Times New Roman" w:hAnsi="Times New Roman"/>
          <w:sz w:val="18"/>
          <w:szCs w:val="18"/>
          <w:vertAlign w:val="superscript"/>
        </w:rPr>
        <w:t>3</w:t>
      </w:r>
      <w:r>
        <w:rPr>
          <w:rFonts w:ascii="Times New Roman" w:cs="Times New Roman" w:hAnsi="Times New Roman"/>
          <w:sz w:val="18"/>
          <w:szCs w:val="18"/>
        </w:rPr>
        <w:t>)</w:t>
      </w:r>
    </w:p>
    <w:tbl>
      <w:tblPr>
        <w:jc w:val="left"/>
        <w:tblInd w:type="dxa" w:w="-108"/>
        <w:tblBorders/>
      </w:tblPr>
      <w:tblGrid>
        <w:gridCol w:w="3226"/>
        <w:gridCol w:w="2126"/>
        <w:gridCol w:w="3402"/>
        <w:gridCol w:w="1383"/>
      </w:tblGrid>
      <w:tr>
        <w:trPr>
          <w:trHeight w:hRule="atLeast" w:val="265"/>
          <w:cantSplit w:val="false"/>
        </w:trPr>
        <w:tc>
          <w:tcPr>
            <w:tcW w:type="dxa" w:w="3226"/>
            <w:vMerge w:val="restart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>
                <w:i/>
              </w:rPr>
              <w:t>Наименование учреждения</w:t>
            </w:r>
          </w:p>
        </w:tc>
        <w:tc>
          <w:tcPr>
            <w:tcW w:type="dxa" w:w="2126"/>
            <w:vMerge w:val="restart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>
                <w:i/>
              </w:rPr>
              <w:t>Фактический объём вывоза ТБО на 01.12.2015</w:t>
            </w:r>
          </w:p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>
                <w:i/>
              </w:rPr>
              <w:t xml:space="preserve"> </w:t>
            </w:r>
            <w:r>
              <w:rPr>
                <w:i/>
              </w:rPr>
              <w:t>(м</w:t>
            </w:r>
            <w:r>
              <w:rPr>
                <w:i/>
                <w:vertAlign w:val="superscript"/>
              </w:rPr>
              <w:t>3</w:t>
            </w:r>
            <w:r>
              <w:rPr>
                <w:i/>
              </w:rPr>
              <w:t>)</w:t>
            </w:r>
          </w:p>
        </w:tc>
        <w:tc>
          <w:tcPr>
            <w:tcW w:type="dxa" w:w="3402"/>
            <w:gridSpan w:val="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>
                <w:i/>
              </w:rPr>
              <w:t>Планируемый объём вывоза ТБО</w:t>
            </w:r>
          </w:p>
        </w:tc>
        <w:tc>
          <w:tcPr>
            <w:tcW w:type="dxa" w:w="1383"/>
            <w:vMerge w:val="restart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>
                <w:i/>
              </w:rPr>
              <w:t>Увеличение планируемых объёмов</w:t>
            </w:r>
          </w:p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>
                <w:i/>
              </w:rPr>
              <w:t>Гр.4-гр.2</w:t>
            </w:r>
          </w:p>
        </w:tc>
      </w:tr>
      <w:tr>
        <w:trPr>
          <w:trHeight w:hRule="atLeast" w:val="705"/>
          <w:cantSplit w:val="false"/>
        </w:trPr>
        <w:tc>
          <w:tcPr>
            <w:tcW w:type="dxa" w:w="3226"/>
            <w:vMerge w:val="continue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>
                <w:i/>
              </w:rPr>
            </w:r>
          </w:p>
        </w:tc>
        <w:tc>
          <w:tcPr>
            <w:tcW w:type="dxa" w:w="2126"/>
            <w:vMerge w:val="continue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>
                <w:i/>
              </w:rPr>
            </w:r>
          </w:p>
        </w:tc>
        <w:tc>
          <w:tcPr>
            <w:tcW w:type="dxa" w:w="18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>
                <w:i/>
              </w:rPr>
              <w:t xml:space="preserve">на 2016 год </w:t>
            </w:r>
          </w:p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>
                <w:i/>
              </w:rPr>
              <w:t>(м</w:t>
            </w:r>
            <w:r>
              <w:rPr>
                <w:i/>
                <w:vertAlign w:val="superscript"/>
              </w:rPr>
              <w:t>3</w:t>
            </w:r>
            <w:r>
              <w:rPr>
                <w:i/>
              </w:rPr>
              <w:t>)</w:t>
            </w:r>
          </w:p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>
                <w:i/>
              </w:rPr>
              <w:t>Показатели Таблицы №2</w:t>
            </w:r>
          </w:p>
        </w:tc>
        <w:tc>
          <w:tcPr>
            <w:tcW w:type="dxa" w:w="1558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>
                <w:i/>
              </w:rPr>
              <w:t>на 01.12.2016</w:t>
            </w:r>
          </w:p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>
                <w:i/>
              </w:rPr>
              <w:t>(м</w:t>
            </w:r>
            <w:r>
              <w:rPr>
                <w:i/>
                <w:vertAlign w:val="superscript"/>
              </w:rPr>
              <w:t>3</w:t>
            </w:r>
            <w:r>
              <w:rPr>
                <w:i/>
              </w:rPr>
              <w:t>)</w:t>
            </w:r>
          </w:p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>
                <w:i/>
              </w:rPr>
              <w:t>Гр.3/12*11</w:t>
            </w:r>
          </w:p>
        </w:tc>
        <w:tc>
          <w:tcPr>
            <w:tcW w:type="dxa" w:w="1384"/>
            <w:vMerge w:val="continue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>
                <w:i/>
              </w:rPr>
            </w:r>
          </w:p>
        </w:tc>
      </w:tr>
      <w:tr>
        <w:trPr>
          <w:trHeight w:hRule="atLeast" w:val="210"/>
          <w:cantSplit w:val="false"/>
        </w:trPr>
        <w:tc>
          <w:tcPr>
            <w:tcW w:type="dxa" w:w="3226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>
                <w:i/>
              </w:rPr>
              <w:t>1</w:t>
            </w:r>
          </w:p>
        </w:tc>
        <w:tc>
          <w:tcPr>
            <w:tcW w:type="dxa" w:w="2126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>
                <w:i/>
              </w:rPr>
              <w:t>2</w:t>
            </w:r>
          </w:p>
        </w:tc>
        <w:tc>
          <w:tcPr>
            <w:tcW w:type="dxa" w:w="18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>
                <w:i/>
              </w:rPr>
              <w:t>3</w:t>
            </w:r>
          </w:p>
        </w:tc>
        <w:tc>
          <w:tcPr>
            <w:tcW w:type="dxa" w:w="1558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>
                <w:i/>
              </w:rPr>
              <w:t>4</w:t>
            </w:r>
          </w:p>
        </w:tc>
        <w:tc>
          <w:tcPr>
            <w:tcW w:type="dxa" w:w="138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>
                <w:i/>
              </w:rPr>
              <w:t>5</w:t>
            </w:r>
          </w:p>
        </w:tc>
      </w:tr>
      <w:tr>
        <w:trPr>
          <w:cantSplit w:val="false"/>
        </w:trPr>
        <w:tc>
          <w:tcPr>
            <w:tcW w:type="dxa" w:w="3226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spacing w:line="276" w:lineRule="auto"/>
            </w:pPr>
            <w:r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type="dxa" w:w="2126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/>
              <w:t>820,0</w:t>
            </w:r>
          </w:p>
        </w:tc>
        <w:tc>
          <w:tcPr>
            <w:tcW w:type="dxa" w:w="18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/>
              <w:t>1317,20</w:t>
            </w:r>
          </w:p>
        </w:tc>
        <w:tc>
          <w:tcPr>
            <w:tcW w:type="dxa" w:w="1558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/>
              <w:t>1207,43</w:t>
            </w:r>
          </w:p>
        </w:tc>
        <w:tc>
          <w:tcPr>
            <w:tcW w:type="dxa" w:w="138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/>
              <w:t>+387,43</w:t>
            </w:r>
          </w:p>
        </w:tc>
      </w:tr>
      <w:tr>
        <w:trPr>
          <w:cantSplit w:val="false"/>
        </w:trPr>
        <w:tc>
          <w:tcPr>
            <w:tcW w:type="dxa" w:w="3226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spacing w:line="276" w:lineRule="auto"/>
            </w:pPr>
            <w:r>
              <w:rPr>
                <w:sz w:val="18"/>
                <w:szCs w:val="18"/>
              </w:rPr>
              <w:t>МКУ «Управление культуры» ДГО</w:t>
            </w:r>
          </w:p>
        </w:tc>
        <w:tc>
          <w:tcPr>
            <w:tcW w:type="dxa" w:w="2126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/>
              <w:t>76,3</w:t>
            </w:r>
          </w:p>
        </w:tc>
        <w:tc>
          <w:tcPr>
            <w:tcW w:type="dxa" w:w="18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/>
              <w:t>136,0</w:t>
            </w:r>
          </w:p>
        </w:tc>
        <w:tc>
          <w:tcPr>
            <w:tcW w:type="dxa" w:w="1558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/>
              <w:t>124,67</w:t>
            </w:r>
          </w:p>
        </w:tc>
        <w:tc>
          <w:tcPr>
            <w:tcW w:type="dxa" w:w="138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/>
              <w:t>+48,37</w:t>
            </w:r>
          </w:p>
        </w:tc>
      </w:tr>
      <w:tr>
        <w:trPr>
          <w:trHeight w:hRule="atLeast" w:val="359"/>
          <w:cantSplit w:val="false"/>
        </w:trPr>
        <w:tc>
          <w:tcPr>
            <w:tcW w:type="dxa" w:w="3226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jc w:val="both"/>
            </w:pPr>
            <w:r>
              <w:rPr>
                <w:i/>
              </w:rPr>
              <w:t>ИТОГО</w:t>
            </w:r>
          </w:p>
        </w:tc>
        <w:tc>
          <w:tcPr>
            <w:tcW w:type="dxa" w:w="2126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>
                <w:i/>
              </w:rPr>
              <w:t>896,3</w:t>
            </w:r>
          </w:p>
        </w:tc>
        <w:tc>
          <w:tcPr>
            <w:tcW w:type="dxa" w:w="1843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>
                <w:i/>
              </w:rPr>
              <w:t>1453,2</w:t>
            </w:r>
          </w:p>
        </w:tc>
        <w:tc>
          <w:tcPr>
            <w:tcW w:type="dxa" w:w="1558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>
                <w:i/>
              </w:rPr>
              <w:t>1332,1</w:t>
            </w:r>
          </w:p>
        </w:tc>
        <w:tc>
          <w:tcPr>
            <w:tcW w:type="dxa" w:w="138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567" w:val="left"/>
              </w:tabs>
              <w:jc w:val="center"/>
            </w:pPr>
            <w:r>
              <w:rPr>
                <w:i/>
              </w:rPr>
              <w:t>+435,8</w:t>
            </w:r>
          </w:p>
        </w:tc>
      </w:tr>
    </w:tbl>
    <w:p>
      <w:pPr>
        <w:pStyle w:val="style0"/>
        <w:jc w:val="both"/>
      </w:pPr>
      <w:r>
        <w:rPr>
          <w:sz w:val="26"/>
          <w:szCs w:val="26"/>
        </w:rPr>
        <w:t xml:space="preserve">       </w:t>
      </w:r>
    </w:p>
    <w:p>
      <w:pPr>
        <w:pStyle w:val="style0"/>
        <w:spacing w:after="0" w:before="0" w:line="100" w:lineRule="atLeast"/>
        <w:jc w:val="both"/>
      </w:pPr>
      <w:r>
        <w:rPr>
          <w:sz w:val="26"/>
          <w:szCs w:val="26"/>
        </w:rPr>
        <w:t xml:space="preserve">          </w:t>
      </w:r>
      <w:r>
        <w:rPr>
          <w:rFonts w:ascii="Times New Roman" w:cs="Times New Roman" w:hAnsi="Times New Roman"/>
          <w:sz w:val="28"/>
          <w:szCs w:val="28"/>
        </w:rPr>
        <w:t>В результате проведённого анализа  установлено завышение объёмов вывоза ТБО на 435,8 м</w:t>
      </w:r>
      <w:r>
        <w:rPr>
          <w:rFonts w:ascii="Times New Roman" w:cs="Times New Roman" w:hAnsi="Times New Roman"/>
          <w:sz w:val="28"/>
          <w:szCs w:val="28"/>
          <w:vertAlign w:val="superscript"/>
        </w:rPr>
        <w:t xml:space="preserve">3 </w:t>
      </w:r>
      <w:r>
        <w:rPr>
          <w:rFonts w:ascii="Times New Roman" w:cs="Times New Roman" w:hAnsi="Times New Roman"/>
          <w:sz w:val="28"/>
          <w:szCs w:val="28"/>
        </w:rPr>
        <w:t>, в том числе по учреждениям:</w:t>
      </w:r>
    </w:p>
    <w:p>
      <w:pPr>
        <w:pStyle w:val="style0"/>
        <w:tabs>
          <w:tab w:leader="none" w:pos="567" w:val="left"/>
        </w:tabs>
        <w:spacing w:after="0" w:before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</w:t>
      </w:r>
      <w:r>
        <w:rPr>
          <w:rFonts w:ascii="Times New Roman" w:cs="Times New Roman" w:hAnsi="Times New Roman"/>
          <w:sz w:val="28"/>
          <w:szCs w:val="28"/>
        </w:rPr>
        <w:t>- МКУ «Управление образования» ДГО объёмы завышены на 387,43 м</w:t>
      </w:r>
      <w:r>
        <w:rPr>
          <w:rFonts w:ascii="Times New Roman" w:cs="Times New Roman" w:hAnsi="Times New Roman"/>
          <w:sz w:val="28"/>
          <w:szCs w:val="28"/>
          <w:vertAlign w:val="superscript"/>
        </w:rPr>
        <w:t>3</w:t>
      </w:r>
      <w:r>
        <w:rPr>
          <w:rFonts w:ascii="Times New Roman" w:cs="Times New Roman" w:hAnsi="Times New Roman"/>
          <w:sz w:val="28"/>
          <w:szCs w:val="28"/>
        </w:rPr>
        <w:t>, или на 47,3%;</w:t>
      </w:r>
    </w:p>
    <w:p>
      <w:pPr>
        <w:pStyle w:val="style0"/>
        <w:tabs>
          <w:tab w:leader="none" w:pos="567" w:val="left"/>
        </w:tabs>
        <w:spacing w:after="0" w:before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 </w:t>
      </w:r>
      <w:r>
        <w:rPr>
          <w:rFonts w:ascii="Times New Roman" w:cs="Times New Roman" w:hAnsi="Times New Roman"/>
          <w:sz w:val="28"/>
          <w:szCs w:val="28"/>
        </w:rPr>
        <w:t>-  МКУ «Управление культуры» ДГО объёмы завышены на 48,37 м</w:t>
      </w:r>
      <w:r>
        <w:rPr>
          <w:rFonts w:ascii="Times New Roman" w:cs="Times New Roman" w:hAnsi="Times New Roman"/>
          <w:sz w:val="28"/>
          <w:szCs w:val="28"/>
          <w:vertAlign w:val="superscript"/>
        </w:rPr>
        <w:t>3</w:t>
      </w:r>
      <w:r>
        <w:rPr>
          <w:rFonts w:ascii="Times New Roman" w:cs="Times New Roman" w:hAnsi="Times New Roman"/>
          <w:sz w:val="28"/>
          <w:szCs w:val="28"/>
        </w:rPr>
        <w:t>, или на 63,4%.</w:t>
      </w:r>
    </w:p>
    <w:p>
      <w:pPr>
        <w:pStyle w:val="style0"/>
        <w:tabs>
          <w:tab w:leader="none" w:pos="567" w:val="left"/>
        </w:tabs>
        <w:spacing w:after="0" w:before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</w:t>
      </w:r>
      <w:r>
        <w:rPr>
          <w:rFonts w:ascii="Times New Roman" w:cs="Times New Roman" w:hAnsi="Times New Roman"/>
          <w:sz w:val="28"/>
          <w:szCs w:val="28"/>
        </w:rPr>
        <w:t>В свою очередь объёмов  бюджетные ассигнования  на 2016 год  увеличены   на  сумму 455,8 тыс. рублей, из них  по учреждениям:</w:t>
      </w:r>
    </w:p>
    <w:p>
      <w:pPr>
        <w:pStyle w:val="style0"/>
        <w:tabs>
          <w:tab w:leader="none" w:pos="567" w:val="left"/>
        </w:tabs>
        <w:spacing w:after="0" w:before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 </w:t>
      </w:r>
      <w:r>
        <w:rPr>
          <w:rFonts w:ascii="Times New Roman" w:cs="Times New Roman" w:hAnsi="Times New Roman"/>
          <w:sz w:val="28"/>
          <w:szCs w:val="28"/>
        </w:rPr>
        <w:t>- МКУ «Управление образования» ДГО  на 398,4 тыс. рублей;</w:t>
      </w:r>
    </w:p>
    <w:p>
      <w:pPr>
        <w:pStyle w:val="style0"/>
        <w:tabs>
          <w:tab w:leader="none" w:pos="567" w:val="left"/>
        </w:tabs>
        <w:spacing w:after="0" w:before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 </w:t>
      </w:r>
      <w:r>
        <w:rPr>
          <w:rFonts w:ascii="Times New Roman" w:cs="Times New Roman" w:hAnsi="Times New Roman"/>
          <w:sz w:val="28"/>
          <w:szCs w:val="28"/>
        </w:rPr>
        <w:t>-  МКУ «Управление культуры» ДГО  на 57,40 тыс. рублей.</w:t>
      </w:r>
    </w:p>
    <w:p>
      <w:pPr>
        <w:pStyle w:val="style0"/>
        <w:tabs>
          <w:tab w:leader="none" w:pos="567" w:val="left"/>
        </w:tabs>
        <w:spacing w:after="0" w:before="0"/>
        <w:jc w:val="both"/>
      </w:pPr>
      <w:r>
        <w:rPr>
          <w:rFonts w:ascii="Times New Roman" w:cs="Times New Roman" w:hAnsi="Times New Roman"/>
          <w:sz w:val="28"/>
          <w:szCs w:val="28"/>
        </w:rPr>
      </w:r>
    </w:p>
    <w:p>
      <w:pPr>
        <w:pStyle w:val="style0"/>
        <w:tabs>
          <w:tab w:leader="none" w:pos="567" w:val="left"/>
        </w:tabs>
        <w:spacing w:after="0" w:before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 </w:t>
      </w:r>
    </w:p>
    <w:p>
      <w:pPr>
        <w:pStyle w:val="style0"/>
        <w:spacing w:line="100" w:lineRule="atLeast"/>
        <w:jc w:val="center"/>
      </w:pPr>
      <w:r>
        <w:rPr>
          <w:rFonts w:ascii="Times New Roman" w:cs="Times New Roman" w:hAnsi="Times New Roman"/>
          <w:b/>
          <w:i/>
          <w:sz w:val="28"/>
          <w:szCs w:val="28"/>
        </w:rPr>
        <w:t>Выводы и предложения</w:t>
      </w:r>
    </w:p>
    <w:p>
      <w:pPr>
        <w:pStyle w:val="style0"/>
        <w:tabs>
          <w:tab w:leader="none" w:pos="567" w:val="left"/>
        </w:tabs>
        <w:spacing w:line="100" w:lineRule="atLeast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</w:t>
      </w:r>
      <w:r>
        <w:rPr>
          <w:rFonts w:ascii="Times New Roman" w:cs="Times New Roman" w:hAnsi="Times New Roman"/>
          <w:sz w:val="28"/>
          <w:szCs w:val="28"/>
        </w:rPr>
        <w:t>В результате проведённого экспертно-аналитического мероприятия установлено следующее:</w:t>
      </w:r>
    </w:p>
    <w:p>
      <w:pPr>
        <w:pStyle w:val="style33"/>
        <w:numPr>
          <w:ilvl w:val="0"/>
          <w:numId w:val="1"/>
        </w:numPr>
        <w:jc w:val="both"/>
      </w:pPr>
      <w:r>
        <w:rPr>
          <w:rFonts w:ascii="Times New Roman" w:cs="Times New Roman" w:hAnsi="Times New Roman"/>
          <w:sz w:val="28"/>
          <w:szCs w:val="28"/>
        </w:rPr>
        <w:t>Установлено  необоснованное завышение объёмов вывоза ТБО на 435,8 м</w:t>
      </w:r>
      <w:r>
        <w:rPr>
          <w:rFonts w:ascii="Times New Roman" w:cs="Times New Roman" w:hAnsi="Times New Roman"/>
          <w:sz w:val="28"/>
          <w:szCs w:val="28"/>
          <w:vertAlign w:val="superscript"/>
        </w:rPr>
        <w:t>3.</w:t>
      </w:r>
      <w:r>
        <w:rPr>
          <w:rFonts w:ascii="Times New Roman" w:cs="Times New Roman" w:hAnsi="Times New Roman"/>
          <w:sz w:val="28"/>
          <w:szCs w:val="28"/>
        </w:rPr>
        <w:t>, что в сумме составляет 455,8 тыс. рублей.</w:t>
      </w:r>
    </w:p>
    <w:p>
      <w:pPr>
        <w:pStyle w:val="style33"/>
        <w:tabs>
          <w:tab w:leader="none" w:pos="1467" w:val="left"/>
        </w:tabs>
        <w:spacing w:after="0" w:before="0"/>
        <w:ind w:hanging="0" w:left="900" w:right="0"/>
        <w:jc w:val="both"/>
      </w:pPr>
      <w:r>
        <w:rPr>
          <w:rFonts w:ascii="Times New Roman" w:cs="Times New Roman" w:hAnsi="Times New Roman"/>
          <w:sz w:val="28"/>
          <w:szCs w:val="28"/>
        </w:rPr>
      </w:r>
    </w:p>
    <w:p>
      <w:pPr>
        <w:pStyle w:val="style33"/>
        <w:ind w:hanging="0" w:left="900" w:right="0"/>
        <w:jc w:val="both"/>
      </w:pPr>
      <w:r>
        <w:rPr>
          <w:rFonts w:ascii="Times New Roman" w:cs="Times New Roman" w:eastAsia="Times New Roman" w:hAnsi="Times New Roman"/>
          <w:i/>
          <w:sz w:val="28"/>
          <w:szCs w:val="28"/>
        </w:rPr>
        <w:t>Главным  распорядителям бюджетных средств:</w:t>
      </w:r>
    </w:p>
    <w:p>
      <w:pPr>
        <w:pStyle w:val="style33"/>
        <w:ind w:hanging="0" w:left="900" w:right="0"/>
        <w:jc w:val="both"/>
      </w:pPr>
      <w:r>
        <w:rPr>
          <w:rFonts w:ascii="Times New Roman" w:cs="Times New Roman" w:eastAsia="Times New Roman" w:hAnsi="Times New Roman"/>
          <w:i/>
          <w:sz w:val="28"/>
          <w:szCs w:val="28"/>
        </w:rPr>
      </w:r>
    </w:p>
    <w:p>
      <w:pPr>
        <w:pStyle w:val="style33"/>
        <w:numPr>
          <w:ilvl w:val="0"/>
          <w:numId w:val="1"/>
        </w:numPr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целях экономии </w:t>
      </w:r>
      <w:r>
        <w:rPr>
          <w:rFonts w:ascii="Times New Roman" w:cs="Times New Roman" w:hAnsi="Times New Roman"/>
          <w:sz w:val="28"/>
          <w:szCs w:val="28"/>
        </w:rPr>
        <w:t xml:space="preserve"> использования бюджетных средств в 2016 году, план финансово хозяйственной деятельности по учреждениям на вывоз твёрдых бытовых  отходов  составить  исходя из реальной потребности.</w:t>
      </w:r>
    </w:p>
    <w:p>
      <w:pPr>
        <w:pStyle w:val="style33"/>
        <w:ind w:hanging="0" w:left="900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    </w:t>
      </w:r>
    </w:p>
    <w:p>
      <w:pPr>
        <w:pStyle w:val="style33"/>
        <w:tabs>
          <w:tab w:leader="none" w:pos="1347" w:val="left"/>
        </w:tabs>
        <w:spacing w:after="0" w:before="0" w:line="100" w:lineRule="atLeast"/>
        <w:ind w:hanging="0" w:left="780" w:right="0"/>
        <w:jc w:val="both"/>
      </w:pPr>
      <w:r>
        <w:rPr>
          <w:rFonts w:ascii="Times New Roman" w:cs="Times New Roman" w:hAnsi="Times New Roman"/>
          <w:i/>
          <w:sz w:val="28"/>
          <w:szCs w:val="28"/>
        </w:rPr>
        <w:t>Руководителям бюджетных учреждений  Дальнереченского городского округа:</w:t>
      </w:r>
    </w:p>
    <w:p>
      <w:pPr>
        <w:pStyle w:val="style33"/>
        <w:tabs>
          <w:tab w:leader="none" w:pos="1347" w:val="left"/>
        </w:tabs>
        <w:spacing w:line="100" w:lineRule="atLeast"/>
        <w:ind w:hanging="0" w:left="780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</w:t>
      </w:r>
    </w:p>
    <w:p>
      <w:pPr>
        <w:pStyle w:val="style33"/>
        <w:numPr>
          <w:ilvl w:val="0"/>
          <w:numId w:val="1"/>
        </w:numPr>
        <w:tabs>
          <w:tab w:leader="none" w:pos="1287" w:val="left"/>
        </w:tabs>
        <w:spacing w:after="0" w:before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При заключении договоров на оказание услуг по вывозу твёрдых бытовых отходов на 2016 год, с </w:t>
      </w:r>
      <w:r>
        <w:rPr>
          <w:rStyle w:val="style23"/>
          <w:rFonts w:ascii="Times New Roman" w:cs="Times New Roman" w:hAnsi="Times New Roman"/>
          <w:sz w:val="28"/>
          <w:szCs w:val="28"/>
        </w:rPr>
        <w:t xml:space="preserve">организации оказывающей данный вид деятельности </w:t>
      </w:r>
      <w:r>
        <w:rPr>
          <w:rFonts w:ascii="Times New Roman" w:cs="Times New Roman" w:hAnsi="Times New Roman"/>
          <w:sz w:val="28"/>
          <w:szCs w:val="28"/>
        </w:rPr>
        <w:t xml:space="preserve"> требовать расчёт – калькуляцию на вывоз 1м</w:t>
      </w:r>
      <w:r>
        <w:rPr>
          <w:rFonts w:ascii="Times New Roman" w:cs="Times New Roman" w:hAnsi="Times New Roman"/>
          <w:sz w:val="28"/>
          <w:szCs w:val="28"/>
          <w:vertAlign w:val="superscript"/>
        </w:rPr>
        <w:t>3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33"/>
        <w:tabs>
          <w:tab w:leader="none" w:pos="1467" w:val="left"/>
        </w:tabs>
        <w:spacing w:after="0" w:before="0"/>
        <w:ind w:hanging="0" w:left="900" w:right="0"/>
        <w:jc w:val="both"/>
      </w:pPr>
      <w:r>
        <w:rPr>
          <w:rFonts w:ascii="Times New Roman" w:cs="Times New Roman" w:hAnsi="Times New Roman"/>
          <w:sz w:val="28"/>
          <w:szCs w:val="28"/>
        </w:rPr>
      </w:r>
    </w:p>
    <w:p>
      <w:pPr>
        <w:pStyle w:val="style1"/>
        <w:jc w:val="both"/>
      </w:pPr>
      <w:r>
        <w:rPr>
          <w:b w:val="false"/>
          <w:sz w:val="28"/>
          <w:szCs w:val="28"/>
        </w:rPr>
      </w:r>
    </w:p>
    <w:p>
      <w:pPr>
        <w:pStyle w:val="style0"/>
        <w:spacing w:after="0" w:before="0" w:line="100" w:lineRule="atLeast"/>
        <w:ind w:firstLine="54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Аудитор  Контрольно – счётной палаты </w:t>
      </w:r>
    </w:p>
    <w:p>
      <w:pPr>
        <w:pStyle w:val="style0"/>
        <w:spacing w:after="0" w:before="0" w:line="100" w:lineRule="atLeast"/>
        <w:ind w:firstLine="54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>Дальнереченского городского округа                                              Т.В. Дуброва</w:t>
      </w:r>
    </w:p>
    <w:p>
      <w:pPr>
        <w:pStyle w:val="style0"/>
      </w:pPr>
      <w:r>
        <w:rPr>
          <w:rFonts w:ascii="Times New Roman" w:cs="Times New Roman" w:hAnsi="Times New Roman"/>
          <w:sz w:val="28"/>
          <w:szCs w:val="28"/>
        </w:rPr>
      </w:r>
    </w:p>
    <w:p>
      <w:pPr>
        <w:pStyle w:val="style0"/>
      </w:pPr>
      <w:r>
        <w:rPr/>
      </w:r>
    </w:p>
    <w:sectPr>
      <w:headerReference r:id="rId4" w:type="default"/>
      <w:type w:val="nextPage"/>
      <w:pgSz w:h="16838" w:w="11906"/>
      <w:pgMar w:bottom="567" w:footer="0" w:gutter="0" w:header="709" w:left="1134" w:right="851" w:top="766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Calibri">
    <w:charset w:val="8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5"/>
      <w:jc w:val="right"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style35"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5"/>
      <w:jc w:val="right"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style35"/>
    </w:pPr>
    <w:r>
      <w:rPr/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ind w:hanging="360" w:left="900"/>
      </w:pPr>
    </w:lvl>
    <w:lvl w:ilvl="1">
      <w:start w:val="1"/>
      <w:numFmt w:val="lowerLetter"/>
      <w:lvlText w:val="%2."/>
      <w:lvlJc w:val="left"/>
      <w:pPr>
        <w:ind w:hanging="360" w:left="1620"/>
      </w:pPr>
    </w:lvl>
    <w:lvl w:ilvl="2">
      <w:start w:val="1"/>
      <w:numFmt w:val="lowerRoman"/>
      <w:lvlText w:val="%3."/>
      <w:lvlJc w:val="right"/>
      <w:pPr>
        <w:ind w:hanging="180" w:left="2340"/>
      </w:pPr>
    </w:lvl>
    <w:lvl w:ilvl="3">
      <w:start w:val="1"/>
      <w:numFmt w:val="decimal"/>
      <w:lvlText w:val="%4."/>
      <w:lvlJc w:val="left"/>
      <w:pPr>
        <w:ind w:hanging="360" w:left="3060"/>
      </w:pPr>
    </w:lvl>
    <w:lvl w:ilvl="4">
      <w:start w:val="1"/>
      <w:numFmt w:val="lowerLetter"/>
      <w:lvlText w:val="%5."/>
      <w:lvlJc w:val="left"/>
      <w:pPr>
        <w:ind w:hanging="360" w:left="3780"/>
      </w:pPr>
    </w:lvl>
    <w:lvl w:ilvl="5">
      <w:start w:val="1"/>
      <w:numFmt w:val="lowerRoman"/>
      <w:lvlText w:val="%6."/>
      <w:lvlJc w:val="right"/>
      <w:pPr>
        <w:ind w:hanging="180" w:left="4500"/>
      </w:pPr>
    </w:lvl>
    <w:lvl w:ilvl="6">
      <w:start w:val="1"/>
      <w:numFmt w:val="decimal"/>
      <w:lvlText w:val="%7."/>
      <w:lvlJc w:val="left"/>
      <w:pPr>
        <w:ind w:hanging="360" w:left="5220"/>
      </w:pPr>
    </w:lvl>
    <w:lvl w:ilvl="7">
      <w:start w:val="1"/>
      <w:numFmt w:val="lowerLetter"/>
      <w:lvlText w:val="%8."/>
      <w:lvlJc w:val="left"/>
      <w:pPr>
        <w:ind w:hanging="360" w:left="5940"/>
      </w:pPr>
    </w:lvl>
    <w:lvl w:ilvl="8">
      <w:start w:val="1"/>
      <w:numFmt w:val="lowerRoman"/>
      <w:lvlText w:val="%9."/>
      <w:lvlJc w:val="right"/>
      <w:pPr>
        <w:ind w:hanging="180" w:left="66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>
        <w:tab w:leader="none" w:pos="708" w:val="left"/>
      </w:tabs>
      <w:suppressAutoHyphens w:val="true"/>
      <w:spacing w:after="200" w:before="0" w:line="276" w:lineRule="auto"/>
    </w:pPr>
    <w:rPr>
      <w:rFonts w:ascii="Calibri" w:cs="" w:eastAsia="Droid Sans" w:hAnsi="Calibri"/>
      <w:color w:val="auto"/>
      <w:sz w:val="22"/>
      <w:szCs w:val="22"/>
      <w:lang w:bidi="ar-SA" w:eastAsia="ru-RU" w:val="ru-RU"/>
    </w:rPr>
  </w:style>
  <w:style w:styleId="style1" w:type="paragraph">
    <w:name w:val="Заголовок 1"/>
    <w:basedOn w:val="style0"/>
    <w:next w:val="style28"/>
    <w:pPr>
      <w:keepNext/>
      <w:spacing w:after="0" w:before="0" w:line="100" w:lineRule="atLeast"/>
    </w:pPr>
    <w:rPr>
      <w:rFonts w:ascii="Times New Roman" w:cs="Times New Roman" w:eastAsia="Times New Roman" w:hAnsi="Times New Roman"/>
      <w:b/>
      <w:bCs/>
      <w:sz w:val="32"/>
      <w:szCs w:val="24"/>
    </w:rPr>
  </w:style>
  <w:style w:styleId="style15" w:type="character">
    <w:name w:val="Default Paragraph Font"/>
    <w:next w:val="style15"/>
    <w:rPr/>
  </w:style>
  <w:style w:styleId="style16" w:type="character">
    <w:name w:val="Текст выноски Знак"/>
    <w:basedOn w:val="style15"/>
    <w:next w:val="style16"/>
    <w:rPr>
      <w:rFonts w:ascii="Tahoma" w:cs="Tahoma" w:hAnsi="Tahoma"/>
      <w:sz w:val="16"/>
      <w:szCs w:val="16"/>
    </w:rPr>
  </w:style>
  <w:style w:styleId="style17" w:type="character">
    <w:name w:val="Интернет-ссылка"/>
    <w:basedOn w:val="style15"/>
    <w:next w:val="style17"/>
    <w:rPr>
      <w:color w:val="0000FF"/>
      <w:u w:val="single"/>
      <w:lang w:bidi="ru-RU" w:eastAsia="ru-RU" w:val="ru-RU"/>
    </w:rPr>
  </w:style>
  <w:style w:styleId="style18" w:type="character">
    <w:name w:val="Заголовок 1 Знак"/>
    <w:basedOn w:val="style15"/>
    <w:next w:val="style18"/>
    <w:rPr>
      <w:rFonts w:ascii="Cambria" w:cs="" w:hAnsi="Cambria"/>
      <w:b/>
      <w:bCs/>
      <w:color w:val="365F91"/>
      <w:sz w:val="28"/>
      <w:szCs w:val="28"/>
    </w:rPr>
  </w:style>
  <w:style w:styleId="style19" w:type="character">
    <w:name w:val="Заголовок 1 Знак1"/>
    <w:next w:val="style19"/>
    <w:rPr>
      <w:rFonts w:ascii="Times New Roman" w:cs="Times New Roman" w:eastAsia="Times New Roman" w:hAnsi="Times New Roman"/>
      <w:b/>
      <w:bCs/>
      <w:sz w:val="32"/>
      <w:szCs w:val="24"/>
    </w:rPr>
  </w:style>
  <w:style w:styleId="style20" w:type="character">
    <w:name w:val="Верхний колонтитул Знак"/>
    <w:basedOn w:val="style15"/>
    <w:next w:val="style20"/>
    <w:rPr>
      <w:rFonts w:ascii="Times New Roman" w:cs="Times New Roman" w:eastAsia="Times New Roman" w:hAnsi="Times New Roman"/>
      <w:sz w:val="24"/>
      <w:szCs w:val="24"/>
    </w:rPr>
  </w:style>
  <w:style w:styleId="style21" w:type="character">
    <w:name w:val="Основной шрифт абзаца1"/>
    <w:next w:val="style21"/>
    <w:rPr/>
  </w:style>
  <w:style w:styleId="style22" w:type="character">
    <w:name w:val="Нижний колонтитул Знак"/>
    <w:basedOn w:val="style15"/>
    <w:next w:val="style22"/>
    <w:rPr/>
  </w:style>
  <w:style w:styleId="style23" w:type="character">
    <w:name w:val="com_body"/>
    <w:basedOn w:val="style15"/>
    <w:next w:val="style23"/>
    <w:rPr/>
  </w:style>
  <w:style w:styleId="style24" w:type="character">
    <w:name w:val="ListLabel 1"/>
    <w:next w:val="style24"/>
    <w:rPr>
      <w:rFonts w:cs="Times New Roman"/>
    </w:rPr>
  </w:style>
  <w:style w:styleId="style25" w:type="character">
    <w:name w:val="ListLabel 2"/>
    <w:next w:val="style25"/>
    <w:rPr>
      <w:rFonts w:cs="Courier New"/>
    </w:rPr>
  </w:style>
  <w:style w:styleId="style26" w:type="character">
    <w:name w:val="ListLabel 3"/>
    <w:next w:val="style26"/>
    <w:rPr>
      <w:sz w:val="22"/>
    </w:rPr>
  </w:style>
  <w:style w:styleId="style27" w:type="paragraph">
    <w:name w:val="Заголовок"/>
    <w:basedOn w:val="style0"/>
    <w:next w:val="style28"/>
    <w:pPr>
      <w:keepNext/>
      <w:spacing w:after="120" w:before="240"/>
    </w:pPr>
    <w:rPr>
      <w:rFonts w:ascii="Arial" w:cs="Lohit Hindi" w:eastAsia="Droid Sans" w:hAnsi="Arial"/>
      <w:sz w:val="28"/>
      <w:szCs w:val="28"/>
    </w:rPr>
  </w:style>
  <w:style w:styleId="style28" w:type="paragraph">
    <w:name w:val="Основной текст"/>
    <w:basedOn w:val="style0"/>
    <w:next w:val="style28"/>
    <w:pPr>
      <w:spacing w:after="120" w:before="0"/>
    </w:pPr>
    <w:rPr/>
  </w:style>
  <w:style w:styleId="style29" w:type="paragraph">
    <w:name w:val="Список"/>
    <w:basedOn w:val="style28"/>
    <w:next w:val="style29"/>
    <w:pPr/>
    <w:rPr>
      <w:rFonts w:cs="Lohit Hindi"/>
    </w:rPr>
  </w:style>
  <w:style w:styleId="style30" w:type="paragraph">
    <w:name w:val="Название"/>
    <w:basedOn w:val="style0"/>
    <w:next w:val="style30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31" w:type="paragraph">
    <w:name w:val="Указатель"/>
    <w:basedOn w:val="style0"/>
    <w:next w:val="style31"/>
    <w:pPr>
      <w:suppressLineNumbers/>
    </w:pPr>
    <w:rPr>
      <w:rFonts w:cs="Lohit Hindi"/>
    </w:rPr>
  </w:style>
  <w:style w:styleId="style32" w:type="paragraph">
    <w:name w:val="Balloon Text"/>
    <w:basedOn w:val="style0"/>
    <w:next w:val="style32"/>
    <w:pPr>
      <w:spacing w:after="0" w:before="0" w:line="100" w:lineRule="atLeast"/>
    </w:pPr>
    <w:rPr>
      <w:rFonts w:ascii="Tahoma" w:cs="Tahoma" w:hAnsi="Tahoma"/>
      <w:sz w:val="16"/>
      <w:szCs w:val="16"/>
    </w:rPr>
  </w:style>
  <w:style w:styleId="style33" w:type="paragraph">
    <w:name w:val="List Paragraph"/>
    <w:basedOn w:val="style0"/>
    <w:next w:val="style33"/>
    <w:pPr>
      <w:ind w:hanging="0" w:left="720" w:right="0"/>
    </w:pPr>
    <w:rPr/>
  </w:style>
  <w:style w:styleId="style34" w:type="paragraph">
    <w:name w:val="Знак1"/>
    <w:basedOn w:val="style0"/>
    <w:next w:val="style34"/>
    <w:pPr>
      <w:spacing w:after="28" w:before="28" w:line="100" w:lineRule="atLeast"/>
    </w:pPr>
    <w:rPr>
      <w:rFonts w:ascii="Tahoma" w:cs="Times New Roman" w:eastAsia="Times New Roman" w:hAnsi="Tahoma"/>
      <w:sz w:val="20"/>
      <w:szCs w:val="20"/>
      <w:lang w:eastAsia="en-US" w:val="en-US"/>
    </w:rPr>
  </w:style>
  <w:style w:styleId="style35" w:type="paragraph">
    <w:name w:val="Верхний колонтитул"/>
    <w:basedOn w:val="style0"/>
    <w:next w:val="style35"/>
    <w:pPr>
      <w:widowControl/>
      <w:suppressLineNumbers/>
      <w:tabs>
        <w:tab w:leader="none" w:pos="4677" w:val="center"/>
        <w:tab w:leader="none" w:pos="9355" w:val="right"/>
      </w:tabs>
      <w:spacing w:after="0" w:before="0" w:line="100" w:lineRule="atLeast"/>
    </w:pPr>
    <w:rPr>
      <w:rFonts w:ascii="Times New Roman" w:cs="Times New Roman" w:eastAsia="Times New Roman" w:hAnsi="Times New Roman"/>
      <w:color w:val="auto"/>
      <w:sz w:val="24"/>
      <w:szCs w:val="24"/>
    </w:rPr>
  </w:style>
  <w:style w:styleId="style36" w:type="paragraph">
    <w:name w:val="Нижний колонтитул"/>
    <w:basedOn w:val="style0"/>
    <w:next w:val="style36"/>
    <w:pPr>
      <w:suppressLineNumbers/>
      <w:tabs>
        <w:tab w:leader="none" w:pos="4677" w:val="center"/>
        <w:tab w:leader="none" w:pos="9355" w:val="right"/>
      </w:tabs>
      <w:spacing w:after="0" w:before="0" w:line="100" w:lineRule="atLeast"/>
    </w:pPr>
    <w:rPr/>
  </w:style>
  <w:style w:styleId="style37" w:type="paragraph">
    <w:name w:val="subtitle"/>
    <w:basedOn w:val="style0"/>
    <w:next w:val="style37"/>
    <w:pPr>
      <w:spacing w:after="28" w:before="28" w:line="100" w:lineRule="atLeast"/>
      <w:jc w:val="center"/>
    </w:pPr>
    <w:rPr>
      <w:rFonts w:ascii="Times New Roman" w:cs="Times New Roman" w:eastAsia="Times New Roman" w:hAnsi="Times New Roman"/>
      <w:sz w:val="24"/>
      <w:szCs w:val="24"/>
    </w:rPr>
  </w:style>
  <w:style w:styleId="style38" w:type="paragraph">
    <w:name w:val="title"/>
    <w:basedOn w:val="style0"/>
    <w:next w:val="style38"/>
    <w:pPr>
      <w:spacing w:after="28" w:before="28" w:line="100" w:lineRule="atLeast"/>
      <w:jc w:val="center"/>
    </w:pPr>
    <w:rPr>
      <w:rFonts w:ascii="Times New Roman" w:cs="Times New Roman" w:eastAsia="Times New Roman" w:hAnsi="Times New Roman"/>
      <w:b/>
      <w:bCs/>
      <w:sz w:val="30"/>
      <w:szCs w:val="30"/>
    </w:rPr>
  </w:style>
  <w:style w:styleId="style39" w:type="paragraph">
    <w:name w:val="Название объекта1"/>
    <w:basedOn w:val="style0"/>
    <w:next w:val="style39"/>
    <w:pPr>
      <w:spacing w:after="28" w:before="28" w:line="100" w:lineRule="atLeast"/>
    </w:pPr>
    <w:rPr>
      <w:rFonts w:ascii="Times New Roman" w:cs="Times New Roman" w:eastAsia="Times New Roman" w:hAnsi="Times New Roman"/>
      <w:sz w:val="24"/>
      <w:szCs w:val="24"/>
    </w:rPr>
  </w:style>
  <w:style w:styleId="style40" w:type="paragraph">
    <w:name w:val="parameter"/>
    <w:basedOn w:val="style0"/>
    <w:next w:val="style40"/>
    <w:pPr>
      <w:spacing w:after="28" w:before="28" w:line="100" w:lineRule="atLeast"/>
    </w:pPr>
    <w:rPr>
      <w:rFonts w:ascii="Times New Roman" w:cs="Times New Roman" w:eastAsia="Times New Roman" w:hAnsi="Times New Roman"/>
      <w:sz w:val="24"/>
      <w:szCs w:val="24"/>
    </w:rPr>
  </w:style>
  <w:style w:styleId="style41" w:type="paragraph">
    <w:name w:val="parametervalue"/>
    <w:basedOn w:val="style0"/>
    <w:next w:val="style41"/>
    <w:pPr>
      <w:spacing w:after="28" w:before="28" w:line="100" w:lineRule="atLeast"/>
    </w:pPr>
    <w:rPr>
      <w:rFonts w:ascii="Times New Roman" w:cs="Times New Roman" w:eastAsia="Times New Roman" w:hAnsi="Times New Roman"/>
      <w:sz w:val="24"/>
      <w:szCs w:val="24"/>
    </w:rPr>
  </w:style>
  <w:style w:styleId="style42" w:type="paragraph">
    <w:name w:val="List Paragraph1"/>
    <w:basedOn w:val="style0"/>
    <w:next w:val="style42"/>
    <w:pPr>
      <w:spacing w:after="0" w:before="0" w:line="100" w:lineRule="atLeast"/>
      <w:ind w:hanging="0" w:left="720" w:right="0"/>
    </w:pPr>
    <w:rPr>
      <w:rFonts w:ascii="Times New Roman" w:cs="Times New Roman" w:eastAsia="Times New Roman" w:hAnsi="Times New Roman"/>
      <w:sz w:val="24"/>
      <w:szCs w:val="24"/>
    </w:rPr>
  </w:style>
  <w:style w:styleId="style43" w:type="paragraph">
    <w:name w:val="Normal (Web)"/>
    <w:basedOn w:val="style0"/>
    <w:next w:val="style43"/>
    <w:pPr>
      <w:spacing w:after="28" w:before="28" w:line="100" w:lineRule="atLeast"/>
    </w:pPr>
    <w:rPr>
      <w:rFonts w:ascii="Times New Roman" w:cs="Times New Roman" w:eastAsia="Times New Roman" w:hAnsi="Times New Roman"/>
      <w:sz w:val="24"/>
      <w:szCs w:val="24"/>
    </w:rPr>
  </w:style>
  <w:style w:styleId="style44" w:type="paragraph">
    <w:name w:val="Основной текст с отступом 21"/>
    <w:basedOn w:val="style0"/>
    <w:next w:val="style44"/>
    <w:pPr>
      <w:suppressAutoHyphens w:val="true"/>
      <w:spacing w:after="0" w:before="0" w:line="100" w:lineRule="atLeast"/>
      <w:ind w:firstLine="284" w:left="0" w:right="0"/>
      <w:jc w:val="both"/>
    </w:pPr>
    <w:rPr>
      <w:rFonts w:ascii="Times New Roman" w:cs="Times New Roman" w:eastAsia="Times New Roman" w:hAnsi="Times New Roman"/>
      <w:sz w:val="24"/>
      <w:szCs w:val="20"/>
      <w:lang w:eastAsia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2015-07-22T22:34:00.00Z</dcterms:created>
  <dc:creator>ksp02</dc:creator>
  <cp:lastModifiedBy>ksp02</cp:lastModifiedBy>
  <cp:lastPrinted>2015-12-30T16:15:39.00Z</cp:lastPrinted>
  <dcterms:modified xsi:type="dcterms:W3CDTF">2015-12-28T01:43:00.00Z</dcterms:modified>
  <cp:revision>782</cp:revision>
</cp:coreProperties>
</file>